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6"/>
        <w:gridCol w:w="4606"/>
      </w:tblGrid>
      <w:tr w:rsidR="00812580" w:rsidRPr="00BD0302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D0302">
              <w:rPr>
                <w:rFonts w:ascii="Arial" w:hAnsi="Arial" w:cs="Arial"/>
                <w:lang w:val="en-US"/>
              </w:rPr>
              <w:t>Maritime Safety Committee</w:t>
            </w:r>
          </w:p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D0302">
              <w:rPr>
                <w:rFonts w:ascii="Arial" w:hAnsi="Arial" w:cs="Arial"/>
                <w:lang w:val="en-US"/>
              </w:rPr>
              <w:t>89</w:t>
            </w:r>
            <w:r w:rsidR="00D864B0" w:rsidRPr="00BD0302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>th</w:t>
            </w:r>
            <w:r w:rsidR="00D864B0" w:rsidRPr="00BD0302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BD0302">
              <w:rPr>
                <w:rFonts w:ascii="Arial" w:hAnsi="Arial" w:cs="Arial"/>
                <w:lang w:val="en-US"/>
              </w:rPr>
              <w:t>session</w:t>
            </w:r>
          </w:p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BD0302">
              <w:rPr>
                <w:rFonts w:ascii="Arial" w:hAnsi="Arial" w:cs="Arial"/>
                <w:lang w:val="en-US"/>
              </w:rPr>
              <w:t>Agenda item 22</w:t>
            </w:r>
          </w:p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 w:rsidRPr="00BD0302">
              <w:rPr>
                <w:rFonts w:ascii="Arial" w:hAnsi="Arial" w:cs="Arial"/>
                <w:lang w:val="en-US"/>
              </w:rPr>
              <w:t>MSC 89/22/..</w:t>
            </w:r>
          </w:p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 w:rsidRPr="00BD0302">
              <w:rPr>
                <w:rFonts w:ascii="Arial" w:hAnsi="Arial" w:cs="Arial"/>
                <w:lang w:val="en-US"/>
              </w:rPr>
              <w:t>…..January 2011</w:t>
            </w:r>
          </w:p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 w:rsidRPr="00BD0302">
              <w:rPr>
                <w:rFonts w:ascii="Arial" w:hAnsi="Arial" w:cs="Arial"/>
                <w:lang w:val="en-US"/>
              </w:rPr>
              <w:t>Original: ENGLISH</w:t>
            </w:r>
          </w:p>
          <w:p w:rsidR="00812580" w:rsidRPr="00BD0302" w:rsidRDefault="0081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WORK PROGRAMME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Protection of the AIS VHF Data Link; proposal to update resolution </w:t>
      </w:r>
      <w:proofErr w:type="gramStart"/>
      <w:r>
        <w:rPr>
          <w:rFonts w:ascii="Arial" w:hAnsi="Arial" w:cs="Arial"/>
          <w:b/>
          <w:bCs/>
          <w:lang w:val="en-US"/>
        </w:rPr>
        <w:t>MSC.140(</w:t>
      </w:r>
      <w:proofErr w:type="gramEnd"/>
      <w:r>
        <w:rPr>
          <w:rFonts w:ascii="Arial" w:hAnsi="Arial" w:cs="Arial"/>
          <w:b/>
          <w:bCs/>
          <w:lang w:val="en-US"/>
        </w:rPr>
        <w:t>76)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Submitted by the Netherlands and the International Association of Marine Aids to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Navigation and Lighthouse Authorities (IALA)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SUMMARY</w:t>
      </w: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Executive summary: </w:t>
      </w:r>
      <w:r>
        <w:rPr>
          <w:rFonts w:ascii="Arial" w:hAnsi="Arial" w:cs="Arial"/>
          <w:i/>
          <w:iCs/>
          <w:lang w:val="en-US"/>
        </w:rPr>
        <w:tab/>
      </w:r>
      <w:r>
        <w:rPr>
          <w:rFonts w:ascii="Arial" w:hAnsi="Arial" w:cs="Arial"/>
          <w:lang w:val="en-US"/>
        </w:rPr>
        <w:t xml:space="preserve">This document contains a proposal for inclusion of an unplanned output, aiming for updating of resolution </w:t>
      </w:r>
      <w:proofErr w:type="gramStart"/>
      <w:r>
        <w:rPr>
          <w:rFonts w:ascii="Arial" w:hAnsi="Arial" w:cs="Arial"/>
          <w:lang w:val="en-US"/>
        </w:rPr>
        <w:t>MSC.140(</w:t>
      </w:r>
      <w:proofErr w:type="gramEnd"/>
      <w:r>
        <w:rPr>
          <w:rFonts w:ascii="Arial" w:hAnsi="Arial" w:cs="Arial"/>
          <w:lang w:val="en-US"/>
        </w:rPr>
        <w:t>76). This resolution was adopted in December 2002 for the protection of the AIS VHF Data Link, in anticipation of the dissemination of a large volume of class B devices. Since the adoption of the resolution, several other AIS devices have been permitted.</w:t>
      </w: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Strategic direction: </w:t>
      </w:r>
      <w:r>
        <w:rPr>
          <w:rFonts w:ascii="Arial" w:hAnsi="Arial" w:cs="Arial"/>
          <w:i/>
          <w:iCs/>
          <w:lang w:val="en-US"/>
        </w:rPr>
        <w:tab/>
      </w:r>
      <w:r>
        <w:rPr>
          <w:rFonts w:ascii="Arial" w:hAnsi="Arial" w:cs="Arial"/>
          <w:lang w:val="en-US"/>
        </w:rPr>
        <w:t>5</w:t>
      </w: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High-level action: </w:t>
      </w:r>
      <w:r>
        <w:rPr>
          <w:rFonts w:ascii="Arial" w:hAnsi="Arial" w:cs="Arial"/>
          <w:i/>
          <w:iCs/>
          <w:lang w:val="en-US"/>
        </w:rPr>
        <w:tab/>
      </w:r>
      <w:r>
        <w:rPr>
          <w:rFonts w:ascii="Arial" w:hAnsi="Arial" w:cs="Arial"/>
          <w:lang w:val="en-US"/>
        </w:rPr>
        <w:t>5.2.4</w:t>
      </w: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Planned output: </w:t>
      </w:r>
      <w:r>
        <w:rPr>
          <w:rFonts w:ascii="Arial" w:hAnsi="Arial" w:cs="Arial"/>
          <w:i/>
          <w:iCs/>
          <w:lang w:val="en-US"/>
        </w:rPr>
        <w:tab/>
      </w:r>
      <w:r>
        <w:rPr>
          <w:rFonts w:ascii="Arial" w:hAnsi="Arial" w:cs="Arial"/>
          <w:lang w:val="en-US"/>
        </w:rPr>
        <w:t>5.2.4.2</w:t>
      </w: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Action to be taken: </w:t>
      </w:r>
      <w:r>
        <w:rPr>
          <w:rFonts w:ascii="Arial" w:hAnsi="Arial" w:cs="Arial"/>
          <w:i/>
          <w:iCs/>
          <w:lang w:val="en-US"/>
        </w:rPr>
        <w:tab/>
      </w:r>
      <w:r>
        <w:rPr>
          <w:rFonts w:ascii="Arial" w:hAnsi="Arial" w:cs="Arial"/>
          <w:lang w:val="en-US"/>
        </w:rPr>
        <w:t>Paragraph 14</w:t>
      </w: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812580" w:rsidRDefault="00812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i/>
          <w:iCs/>
          <w:lang w:val="en-US"/>
        </w:rPr>
        <w:t xml:space="preserve">Related documents: </w:t>
      </w:r>
      <w:r>
        <w:rPr>
          <w:rFonts w:ascii="Arial" w:hAnsi="Arial" w:cs="Arial"/>
          <w:i/>
          <w:iCs/>
          <w:lang w:val="en-US"/>
        </w:rPr>
        <w:tab/>
      </w:r>
      <w:r>
        <w:rPr>
          <w:rFonts w:ascii="Arial" w:hAnsi="Arial" w:cs="Arial"/>
          <w:lang w:val="en-US"/>
        </w:rPr>
        <w:t xml:space="preserve">Resolution </w:t>
      </w:r>
      <w:proofErr w:type="gramStart"/>
      <w:r>
        <w:rPr>
          <w:rFonts w:ascii="Arial" w:hAnsi="Arial" w:cs="Arial"/>
          <w:lang w:val="en-US"/>
        </w:rPr>
        <w:t>MSC.140(</w:t>
      </w:r>
      <w:proofErr w:type="gramEnd"/>
      <w:r>
        <w:rPr>
          <w:rFonts w:ascii="Arial" w:hAnsi="Arial" w:cs="Arial"/>
          <w:lang w:val="en-US"/>
        </w:rPr>
        <w:t>76)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Introduction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</w:t>
      </w:r>
      <w:r>
        <w:rPr>
          <w:rFonts w:ascii="Arial" w:hAnsi="Arial" w:cs="Arial"/>
          <w:lang w:val="en-US"/>
        </w:rPr>
        <w:tab/>
        <w:t>The following proposal for inclusion of an unplanned output is submitted in accordance with the Guidelines on the organization and method of work of the Committees (MSC-MEPC.1/Circ.2), taking into account the High-level Action Plan for the Organization and priorities for the 2010-2011 biennium (resolution A.1012 (26)).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Scope of the proposal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</w:t>
      </w:r>
      <w:r>
        <w:rPr>
          <w:rFonts w:ascii="Arial" w:hAnsi="Arial" w:cs="Arial"/>
          <w:lang w:val="en-US"/>
        </w:rPr>
        <w:tab/>
        <w:t xml:space="preserve">Resolution </w:t>
      </w:r>
      <w:proofErr w:type="gramStart"/>
      <w:r>
        <w:rPr>
          <w:rFonts w:ascii="Arial" w:hAnsi="Arial" w:cs="Arial"/>
          <w:lang w:val="en-US"/>
        </w:rPr>
        <w:t>MSC.140(</w:t>
      </w:r>
      <w:proofErr w:type="gramEnd"/>
      <w:r>
        <w:rPr>
          <w:rFonts w:ascii="Arial" w:hAnsi="Arial" w:cs="Arial"/>
          <w:lang w:val="en-US"/>
        </w:rPr>
        <w:t>76) was adopted in December 20</w:t>
      </w:r>
      <w:r w:rsidR="00D864B0">
        <w:rPr>
          <w:rFonts w:ascii="Arial" w:hAnsi="Arial" w:cs="Arial"/>
          <w:lang w:val="en-US"/>
        </w:rPr>
        <w:t>02 to provide clarification to maritime A</w:t>
      </w:r>
      <w:r>
        <w:rPr>
          <w:rFonts w:ascii="Arial" w:hAnsi="Arial" w:cs="Arial"/>
          <w:lang w:val="en-US"/>
        </w:rPr>
        <w:t>dministrations regarding the protection of the AIS VHF Data Link (AIS VDL), in anticipation of the large volume of Class B devices that could have a negative impact on the AIS VDL.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3 </w:t>
      </w:r>
      <w:r>
        <w:rPr>
          <w:rFonts w:ascii="Arial" w:hAnsi="Arial" w:cs="Arial"/>
          <w:lang w:val="en-US"/>
        </w:rPr>
        <w:tab/>
        <w:t xml:space="preserve">Since the adoption of resolution </w:t>
      </w:r>
      <w:proofErr w:type="gramStart"/>
      <w:r>
        <w:rPr>
          <w:rFonts w:ascii="Arial" w:hAnsi="Arial" w:cs="Arial"/>
          <w:lang w:val="en-US"/>
        </w:rPr>
        <w:t>MSC.140(</w:t>
      </w:r>
      <w:proofErr w:type="gramEnd"/>
      <w:r>
        <w:rPr>
          <w:rFonts w:ascii="Arial" w:hAnsi="Arial" w:cs="Arial"/>
          <w:lang w:val="en-US"/>
        </w:rPr>
        <w:t>76) and as identified in ITU-R M.1371 the following AIS devices are permitted: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.1 AIS VHF data link (VDL) non-controlling stations;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.1.1 AIS </w:t>
      </w:r>
      <w:proofErr w:type="spellStart"/>
      <w:r>
        <w:rPr>
          <w:rFonts w:ascii="Arial" w:hAnsi="Arial" w:cs="Arial"/>
          <w:lang w:val="en-US"/>
        </w:rPr>
        <w:t>shipborne</w:t>
      </w:r>
      <w:proofErr w:type="spellEnd"/>
      <w:r>
        <w:rPr>
          <w:rFonts w:ascii="Arial" w:hAnsi="Arial" w:cs="Arial"/>
          <w:lang w:val="en-US"/>
        </w:rPr>
        <w:t xml:space="preserve"> station;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1.1.1 Class A </w:t>
      </w:r>
      <w:proofErr w:type="spellStart"/>
      <w:r>
        <w:rPr>
          <w:rFonts w:ascii="Arial" w:hAnsi="Arial" w:cs="Arial"/>
          <w:lang w:val="en-US"/>
        </w:rPr>
        <w:t>shipborne</w:t>
      </w:r>
      <w:proofErr w:type="spellEnd"/>
      <w:r>
        <w:rPr>
          <w:rFonts w:ascii="Arial" w:hAnsi="Arial" w:cs="Arial"/>
          <w:lang w:val="en-US"/>
        </w:rPr>
        <w:t xml:space="preserve"> mobile equipment using SOTDMA technology;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1.1.2 Class B </w:t>
      </w:r>
      <w:proofErr w:type="spellStart"/>
      <w:r>
        <w:rPr>
          <w:rFonts w:ascii="Arial" w:hAnsi="Arial" w:cs="Arial"/>
          <w:lang w:val="en-US"/>
        </w:rPr>
        <w:t>shipborne</w:t>
      </w:r>
      <w:proofErr w:type="spellEnd"/>
      <w:r>
        <w:rPr>
          <w:rFonts w:ascii="Arial" w:hAnsi="Arial" w:cs="Arial"/>
          <w:lang w:val="en-US"/>
        </w:rPr>
        <w:t xml:space="preserve"> mobile equipment;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– Class B “SO” using SOTDMA technology;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– Class B “CS” using CSTDMA;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.1.2 Aids to navigation-AIS station;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.1.3 Limited base station (no VDL control functionality);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.1.4 Search and rescue mobile aircraft equipment;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.1.5 Repeater station;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.1.6 AIS Search and Rescue Transmitter (AIS-SART station);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.2 AIS VDL controlling stations;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.2.1 Base station.</w:t>
      </w:r>
      <w:proofErr w:type="gramEnd"/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ab/>
        <w:t xml:space="preserve">The co-sponsors therefore propose that the COMSAR Sub-Committee provides an update of resolution </w:t>
      </w:r>
      <w:proofErr w:type="gramStart"/>
      <w:r>
        <w:rPr>
          <w:rFonts w:ascii="Arial" w:hAnsi="Arial" w:cs="Arial"/>
          <w:lang w:val="en-US"/>
        </w:rPr>
        <w:t>MSC.140(</w:t>
      </w:r>
      <w:proofErr w:type="gramEnd"/>
      <w:r>
        <w:rPr>
          <w:rFonts w:ascii="Arial" w:hAnsi="Arial" w:cs="Arial"/>
          <w:lang w:val="en-US"/>
        </w:rPr>
        <w:t>76) in view of its approbation by the Maritime Safety Committee.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Need or compelling need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5 </w:t>
      </w:r>
      <w:r>
        <w:rPr>
          <w:rFonts w:ascii="Arial" w:hAnsi="Arial" w:cs="Arial"/>
          <w:lang w:val="en-US"/>
        </w:rPr>
        <w:tab/>
        <w:t xml:space="preserve">The protection of the VHF data link becomes more and more important as new types of AIS devices are implemented. Therefore the co-sponsors of this proposal consider it necessary that the Organization reinforces resolution </w:t>
      </w:r>
      <w:proofErr w:type="gramStart"/>
      <w:r>
        <w:rPr>
          <w:rFonts w:ascii="Arial" w:hAnsi="Arial" w:cs="Arial"/>
          <w:lang w:val="en-US"/>
        </w:rPr>
        <w:t>MSC.140(</w:t>
      </w:r>
      <w:proofErr w:type="gramEnd"/>
      <w:r>
        <w:rPr>
          <w:rFonts w:ascii="Arial" w:hAnsi="Arial" w:cs="Arial"/>
          <w:lang w:val="en-US"/>
        </w:rPr>
        <w:t>76) by updating it.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Cost(s) to the maritime industry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 </w:t>
      </w:r>
      <w:r>
        <w:rPr>
          <w:rFonts w:ascii="Arial" w:hAnsi="Arial" w:cs="Arial"/>
          <w:lang w:val="en-US"/>
        </w:rPr>
        <w:tab/>
        <w:t>The update of the resolution as such does not introduce new cost for the maritime industry.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Benefits which would accrue from the proposal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7 </w:t>
      </w:r>
      <w:r>
        <w:rPr>
          <w:rFonts w:ascii="Arial" w:hAnsi="Arial" w:cs="Arial"/>
          <w:lang w:val="en-US"/>
        </w:rPr>
        <w:tab/>
        <w:t>The co-sponsors of this proposal are convinced that updating the resolution will provide for better and up-to-date clarification regarding the protection of the AIS VDL and is to the benefit to the maritime industry.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Priority and target completion date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8 </w:t>
      </w:r>
      <w:r>
        <w:rPr>
          <w:rFonts w:ascii="Arial" w:hAnsi="Arial" w:cs="Arial"/>
          <w:lang w:val="en-US"/>
        </w:rPr>
        <w:tab/>
        <w:t>It is important that IMO documents are kept aligned with the actual situation of equipment on board. Therefore the work should be achieved with a high degree of priority, and with a completion date in 2012.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Is the subject of the proposal within the scope of IMO’s objectives?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9 </w:t>
      </w:r>
      <w:r>
        <w:rPr>
          <w:rFonts w:ascii="Arial" w:hAnsi="Arial" w:cs="Arial"/>
          <w:lang w:val="en-US"/>
        </w:rPr>
        <w:tab/>
        <w:t>The proposal is within the scope of the IMO’s objectives, as it aims to enhance usability of AIS and, thereby, to ensure the safety and efficiency of navigation.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How is the proposed item related to the scope of the Strategic plan for the Organization and fits into the High level action plan?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10 </w:t>
      </w:r>
      <w:r>
        <w:rPr>
          <w:rFonts w:ascii="Arial" w:hAnsi="Arial" w:cs="Arial"/>
          <w:lang w:val="en-US"/>
        </w:rPr>
        <w:tab/>
        <w:t xml:space="preserve">Since the proposal is directly related to standards for </w:t>
      </w:r>
      <w:proofErr w:type="spellStart"/>
      <w:r>
        <w:rPr>
          <w:rFonts w:ascii="Arial" w:hAnsi="Arial" w:cs="Arial"/>
          <w:lang w:val="en-US"/>
        </w:rPr>
        <w:t>shipborne</w:t>
      </w:r>
      <w:proofErr w:type="spellEnd"/>
      <w:r>
        <w:rPr>
          <w:rFonts w:ascii="Arial" w:hAnsi="Arial" w:cs="Arial"/>
          <w:lang w:val="en-US"/>
        </w:rPr>
        <w:t xml:space="preserve"> navigational aids, the subject is within the scope of high-level action 5.2.4 of the current High-level Action Plan.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Do adequate industry standards exist?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11 </w:t>
      </w:r>
      <w:r>
        <w:rPr>
          <w:rFonts w:ascii="Arial" w:hAnsi="Arial" w:cs="Arial"/>
          <w:lang w:val="en-US"/>
        </w:rPr>
        <w:tab/>
        <w:t>Yes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Do the benefits justify the proposed </w:t>
      </w:r>
      <w:proofErr w:type="gramStart"/>
      <w:r>
        <w:rPr>
          <w:rFonts w:ascii="Arial" w:hAnsi="Arial" w:cs="Arial"/>
          <w:b/>
          <w:bCs/>
          <w:lang w:val="en-US"/>
        </w:rPr>
        <w:t>action</w:t>
      </w:r>
      <w:proofErr w:type="gramEnd"/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12 </w:t>
      </w:r>
      <w:r>
        <w:rPr>
          <w:rFonts w:ascii="Arial" w:hAnsi="Arial" w:cs="Arial"/>
          <w:lang w:val="en-US"/>
        </w:rPr>
        <w:tab/>
        <w:t>In the view of the co-sponsors of this proposal the benefit described in paragraph 7 justifies the proposed action.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Estimation of the number of sessions needed to complete the work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13 </w:t>
      </w:r>
      <w:r>
        <w:rPr>
          <w:rFonts w:ascii="Arial" w:hAnsi="Arial" w:cs="Arial"/>
          <w:lang w:val="en-US"/>
        </w:rPr>
        <w:tab/>
        <w:t>It is estimated that the COMSAR Sub-Committee will need one session to complete the work.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Action requested of the Committee</w:t>
      </w: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812580" w:rsidRDefault="008125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14 </w:t>
      </w:r>
      <w:r>
        <w:rPr>
          <w:rFonts w:ascii="Arial" w:hAnsi="Arial" w:cs="Arial"/>
          <w:lang w:val="en-US"/>
        </w:rPr>
        <w:tab/>
        <w:t>The Committee is invited to consider the proposal and to decide to include the proposed unplanned output in its post-biennial agenda.</w:t>
      </w:r>
    </w:p>
    <w:p w:rsidR="00812580" w:rsidRDefault="00812580">
      <w:pPr>
        <w:jc w:val="center"/>
        <w:rPr>
          <w:rFonts w:ascii="Arial" w:hAnsi="Arial" w:cs="Arial"/>
          <w:lang w:val="en-US"/>
        </w:rPr>
      </w:pPr>
    </w:p>
    <w:p w:rsidR="00812580" w:rsidRDefault="00812580">
      <w:pPr>
        <w:jc w:val="center"/>
        <w:rPr>
          <w:rFonts w:ascii="Verdana" w:hAnsi="Verdana" w:cs="Verdana"/>
          <w:sz w:val="18"/>
          <w:szCs w:val="18"/>
        </w:rPr>
      </w:pPr>
      <w:r>
        <w:rPr>
          <w:rFonts w:ascii="Arial" w:hAnsi="Arial" w:cs="Arial"/>
        </w:rPr>
        <w:t>_____</w:t>
      </w:r>
    </w:p>
    <w:sectPr w:rsidR="00812580" w:rsidSect="008125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11C" w:rsidRDefault="004B411C" w:rsidP="00EB3393">
      <w:pPr>
        <w:spacing w:after="0" w:line="240" w:lineRule="auto"/>
      </w:pPr>
      <w:r>
        <w:separator/>
      </w:r>
    </w:p>
  </w:endnote>
  <w:endnote w:type="continuationSeparator" w:id="0">
    <w:p w:rsidR="004B411C" w:rsidRDefault="004B411C" w:rsidP="00EB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93" w:rsidRDefault="00EB33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93" w:rsidRDefault="00EB33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93" w:rsidRDefault="00EB33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11C" w:rsidRDefault="004B411C" w:rsidP="00EB3393">
      <w:pPr>
        <w:spacing w:after="0" w:line="240" w:lineRule="auto"/>
      </w:pPr>
      <w:r>
        <w:separator/>
      </w:r>
    </w:p>
  </w:footnote>
  <w:footnote w:type="continuationSeparator" w:id="0">
    <w:p w:rsidR="004B411C" w:rsidRDefault="004B411C" w:rsidP="00EB3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93" w:rsidRDefault="00EB33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93" w:rsidRDefault="00EB3393">
    <w:pPr>
      <w:pStyle w:val="Header"/>
    </w:pPr>
    <w:r>
      <w:tab/>
    </w:r>
    <w:r>
      <w:tab/>
    </w:r>
    <w:r>
      <w:t>e-NAV9/INF/</w:t>
    </w:r>
    <w:r w:rsidR="005D6F45">
      <w:t>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93" w:rsidRDefault="00EB33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580"/>
    <w:rsid w:val="00001FD9"/>
    <w:rsid w:val="00401A12"/>
    <w:rsid w:val="004B411C"/>
    <w:rsid w:val="005D6F45"/>
    <w:rsid w:val="00812580"/>
    <w:rsid w:val="00BD0302"/>
    <w:rsid w:val="00D864B0"/>
    <w:rsid w:val="00EB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D9"/>
    <w:pPr>
      <w:spacing w:after="200" w:line="276" w:lineRule="auto"/>
    </w:pPr>
    <w:rPr>
      <w:rFonts w:cs="Calibri"/>
      <w:sz w:val="22"/>
      <w:szCs w:val="22"/>
      <w:lang w:val="nl-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39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B3393"/>
    <w:rPr>
      <w:rFonts w:ascii="Calibri" w:hAnsi="Calibri" w:cs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B339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B3393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656</Words>
  <Characters>3742</Characters>
  <Application>Microsoft Office Word</Application>
  <DocSecurity>0</DocSecurity>
  <Lines>31</Lines>
  <Paragraphs>8</Paragraphs>
  <ScaleCrop>false</ScaleCrop>
  <Company>Rijksoverheid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KPOLDERM</dc:creator>
  <cp:keywords/>
  <dc:description/>
  <cp:lastModifiedBy>Mike Hadley</cp:lastModifiedBy>
  <cp:revision>12</cp:revision>
  <cp:lastPrinted>2010-12-13T11:44:00Z</cp:lastPrinted>
  <dcterms:created xsi:type="dcterms:W3CDTF">2010-12-13T11:18:00Z</dcterms:created>
  <dcterms:modified xsi:type="dcterms:W3CDTF">2011-02-03T13:05:00Z</dcterms:modified>
</cp:coreProperties>
</file>