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851373" w:rsidP="00A446C9">
      <w:pPr>
        <w:pStyle w:val="BodyText"/>
      </w:pPr>
      <w:proofErr w:type="gramStart"/>
      <w:r>
        <w:t>ANM</w:t>
      </w:r>
      <w:r w:rsidR="00127B08">
        <w:t>17</w:t>
      </w:r>
      <w:r w:rsidR="001C44A3">
        <w:t xml:space="preserve">  Input</w:t>
      </w:r>
      <w:proofErr w:type="gramEnd"/>
      <w:r w:rsidR="001C44A3">
        <w:t xml:space="preserve"> 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D9262E">
        <w:t>9.12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D9262E">
        <w:t>19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127B08">
        <w:t>TCM</w:t>
      </w:r>
    </w:p>
    <w:p w:rsidR="00A446C9" w:rsidRDefault="00127B08" w:rsidP="00A446C9">
      <w:pPr>
        <w:pStyle w:val="Title"/>
      </w:pPr>
      <w:r w:rsidRPr="00CD15DF">
        <w:t xml:space="preserve">Use of </w:t>
      </w:r>
      <w:r>
        <w:t xml:space="preserve">IALA </w:t>
      </w:r>
      <w:r w:rsidRPr="00CD15DF">
        <w:t>AtoN categories</w:t>
      </w:r>
    </w:p>
    <w:p w:rsidR="00A446C9" w:rsidRDefault="00127B08" w:rsidP="00A446C9">
      <w:pPr>
        <w:pStyle w:val="Heading1"/>
      </w:pPr>
      <w:r>
        <w:t>Introduction</w:t>
      </w:r>
    </w:p>
    <w:p w:rsidR="00127B08" w:rsidRDefault="00127B08" w:rsidP="00B56BDF">
      <w:pPr>
        <w:pStyle w:val="BodyText"/>
      </w:pPr>
      <w:r w:rsidRPr="00CD15DF">
        <w:t xml:space="preserve">IALA had no record of which countries subscribe to the AtoN categories, </w:t>
      </w:r>
      <w:r>
        <w:t xml:space="preserve">as </w:t>
      </w:r>
      <w:r w:rsidRPr="00CD15DF">
        <w:t>detailed in IALA Recommendation O-130, and was, therefore, unable to immediately respond to a query about this from an Industrial member.  The simplest way to get a feel for the category usage was to ask</w:t>
      </w:r>
      <w:r>
        <w:t xml:space="preserve"> ANM members.</w:t>
      </w:r>
    </w:p>
    <w:p w:rsidR="00127B08" w:rsidRDefault="00127B08" w:rsidP="00B56BDF">
      <w:pPr>
        <w:pStyle w:val="BodyText"/>
      </w:pPr>
      <w:r>
        <w:t>The question asked was:</w:t>
      </w:r>
    </w:p>
    <w:p w:rsidR="00127B08" w:rsidRPr="00A656E4" w:rsidRDefault="00127B08" w:rsidP="00127B08">
      <w:pPr>
        <w:pStyle w:val="BodyText"/>
        <w:rPr>
          <w:i/>
        </w:rPr>
      </w:pPr>
      <w:r w:rsidRPr="00A656E4">
        <w:rPr>
          <w:i/>
        </w:rPr>
        <w:t>It would be of interest to know which competent authorities use AtoN categories 1, 2, and 3, as describe</w:t>
      </w:r>
      <w:r w:rsidR="00A656E4" w:rsidRPr="00A656E4">
        <w:rPr>
          <w:i/>
        </w:rPr>
        <w:t xml:space="preserve">d in IALA Recommendation O-130. </w:t>
      </w:r>
      <w:r w:rsidRPr="00A656E4">
        <w:rPr>
          <w:i/>
        </w:rPr>
        <w:t xml:space="preserve"> Can you say, please, whether your authority use these categories and aim at reaching the availability objectives for each category?</w:t>
      </w:r>
    </w:p>
    <w:p w:rsidR="00B56BDF" w:rsidRDefault="00127B08" w:rsidP="00127B08">
      <w:pPr>
        <w:pStyle w:val="BodyText"/>
      </w:pPr>
      <w:r w:rsidRPr="00CD15DF">
        <w:t>I am extremely grateful for the responses received, which I reproduce below.</w:t>
      </w:r>
      <w:bookmarkStart w:id="0" w:name="_GoBack"/>
      <w:bookmarkEnd w:id="0"/>
    </w:p>
    <w:p w:rsidR="001C44A3" w:rsidRDefault="00B56BDF" w:rsidP="00B56BDF">
      <w:pPr>
        <w:pStyle w:val="Heading2"/>
      </w:pPr>
      <w:r>
        <w:t>A</w:t>
      </w:r>
      <w:r w:rsidR="001C44A3">
        <w:t xml:space="preserve">ction </w:t>
      </w:r>
      <w:r w:rsidR="004D1D85">
        <w:t>aris</w:t>
      </w:r>
      <w:r w:rsidR="00E55927">
        <w:t>ing</w:t>
      </w:r>
      <w:r w:rsidR="004D1D85">
        <w:t xml:space="preserve"> from the input of the document</w:t>
      </w:r>
    </w:p>
    <w:p w:rsidR="00E55927" w:rsidRPr="00B56BDF" w:rsidRDefault="00127B08" w:rsidP="00E55927">
      <w:pPr>
        <w:pStyle w:val="BodyText"/>
      </w:pPr>
      <w:r>
        <w:t>This paper is provided purely for the information of the members of the ANM Committee</w:t>
      </w:r>
      <w:r w:rsidR="00D9262E">
        <w:t xml:space="preserve"> but may be of particular interest to WG2</w:t>
      </w:r>
      <w:r>
        <w:t>.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127B08" w:rsidP="00E55927">
      <w:pPr>
        <w:pStyle w:val="BodyText"/>
      </w:pPr>
      <w:r>
        <w:t xml:space="preserve">IALA Recommendation 0-130 </w:t>
      </w:r>
      <w:r w:rsidR="000D020A">
        <w:t xml:space="preserve">on </w:t>
      </w:r>
      <w:r w:rsidR="000D020A" w:rsidRPr="000D020A">
        <w:t>Categorisation and Availability Objectives for Short Range Aids to Navigation</w:t>
      </w:r>
      <w:r w:rsidR="000D020A">
        <w:t>.</w:t>
      </w:r>
    </w:p>
    <w:p w:rsidR="00A446C9" w:rsidRDefault="00127B08" w:rsidP="00A446C9">
      <w:pPr>
        <w:pStyle w:val="Heading1"/>
      </w:pPr>
      <w:r>
        <w:t>ANM Members’ responses</w:t>
      </w:r>
    </w:p>
    <w:p w:rsidR="00127B08" w:rsidRPr="00CD15DF" w:rsidRDefault="00127B08" w:rsidP="000D020A">
      <w:pPr>
        <w:pStyle w:val="Heading2"/>
      </w:pPr>
      <w:r w:rsidRPr="00CD15DF">
        <w:t>AMNAS</w:t>
      </w:r>
    </w:p>
    <w:p w:rsidR="00127B08" w:rsidRPr="00CD15DF" w:rsidRDefault="00127B08" w:rsidP="00127B08">
      <w:pPr>
        <w:pStyle w:val="BodyText"/>
        <w:rPr>
          <w:lang w:val="en-US"/>
        </w:rPr>
      </w:pPr>
      <w:r w:rsidRPr="00CD15DF">
        <w:rPr>
          <w:lang w:val="en-US"/>
        </w:rPr>
        <w:t>In AMNAS, we do use the categorization (Cat 1, 2, 3) as described in IALA Recommendation O-130.</w:t>
      </w:r>
      <w:r w:rsidR="000D020A">
        <w:rPr>
          <w:lang w:val="en-US"/>
        </w:rPr>
        <w:t xml:space="preserve"> </w:t>
      </w:r>
      <w:r w:rsidRPr="00CD15DF">
        <w:rPr>
          <w:lang w:val="en-US"/>
        </w:rPr>
        <w:t xml:space="preserve"> We also achieve the availability objective in almost all stations.</w:t>
      </w:r>
    </w:p>
    <w:p w:rsidR="00127B08" w:rsidRPr="00CD15DF" w:rsidRDefault="00127B08" w:rsidP="00127B08">
      <w:pPr>
        <w:pStyle w:val="BodyText"/>
      </w:pPr>
      <w:r w:rsidRPr="00CD15DF">
        <w:rPr>
          <w:lang w:val="en-US"/>
        </w:rPr>
        <w:t xml:space="preserve">In AMNAS, we </w:t>
      </w:r>
      <w:r w:rsidRPr="00CD15DF">
        <w:t>categorise</w:t>
      </w:r>
      <w:r w:rsidR="000D020A">
        <w:rPr>
          <w:lang w:val="en-US"/>
        </w:rPr>
        <w:t xml:space="preserve"> the AtoN station as one.  W</w:t>
      </w:r>
      <w:r w:rsidRPr="00CD15DF">
        <w:rPr>
          <w:lang w:val="en-US"/>
        </w:rPr>
        <w:t xml:space="preserve">hat I mean here is that we do not categories each component separately. </w:t>
      </w:r>
      <w:r w:rsidR="000D020A">
        <w:rPr>
          <w:lang w:val="en-US"/>
        </w:rPr>
        <w:t xml:space="preserve"> </w:t>
      </w:r>
      <w:r w:rsidRPr="00CD15DF">
        <w:rPr>
          <w:lang w:val="en-US"/>
        </w:rPr>
        <w:t>For example, the lantern is not categorized differently t</w:t>
      </w:r>
      <w:r w:rsidR="000D020A">
        <w:rPr>
          <w:lang w:val="en-US"/>
        </w:rPr>
        <w:t>o</w:t>
      </w:r>
      <w:r w:rsidRPr="00CD15DF">
        <w:rPr>
          <w:lang w:val="en-US"/>
        </w:rPr>
        <w:t xml:space="preserve"> the day </w:t>
      </w:r>
      <w:proofErr w:type="gramStart"/>
      <w:r w:rsidRPr="00CD15DF">
        <w:rPr>
          <w:lang w:val="en-US"/>
        </w:rPr>
        <w:t>mark,</w:t>
      </w:r>
      <w:proofErr w:type="gramEnd"/>
      <w:r w:rsidRPr="00CD15DF">
        <w:rPr>
          <w:lang w:val="en-US"/>
        </w:rPr>
        <w:t xml:space="preserve"> rather the whole station is categorized as one category.</w:t>
      </w:r>
    </w:p>
    <w:p w:rsidR="00127B08" w:rsidRPr="00CD15DF" w:rsidRDefault="00127B08" w:rsidP="000D020A">
      <w:pPr>
        <w:pStyle w:val="Heading2"/>
      </w:pPr>
      <w:r w:rsidRPr="00CD15DF">
        <w:t>Australia</w:t>
      </w:r>
    </w:p>
    <w:p w:rsidR="00127B08" w:rsidRPr="00CD15DF" w:rsidRDefault="00127B08" w:rsidP="00127B08">
      <w:pPr>
        <w:pStyle w:val="BodyText"/>
      </w:pPr>
      <w:r w:rsidRPr="00CD15DF">
        <w:t>AMSA uses the AtoN categories and aims to achieve the availability criteria as per O-130.</w:t>
      </w:r>
    </w:p>
    <w:p w:rsidR="00127B08" w:rsidRPr="00CD15DF" w:rsidRDefault="00127B08" w:rsidP="000D020A">
      <w:pPr>
        <w:pStyle w:val="Heading2"/>
      </w:pPr>
      <w:r w:rsidRPr="00CD15DF">
        <w:t>Canada</w:t>
      </w:r>
    </w:p>
    <w:p w:rsidR="00127B08" w:rsidRPr="00CD15DF" w:rsidRDefault="00127B08" w:rsidP="00127B08">
      <w:pPr>
        <w:pStyle w:val="BodyText"/>
      </w:pPr>
      <w:r w:rsidRPr="00CD15DF">
        <w:t>The Canadian Coast Guard uses these categories to distinguish the threat rating or importance.  The reliability targets are built into our response time.</w:t>
      </w:r>
    </w:p>
    <w:p w:rsidR="00127B08" w:rsidRPr="00CD15DF" w:rsidRDefault="00127B08" w:rsidP="000D020A">
      <w:pPr>
        <w:pStyle w:val="Heading2"/>
      </w:pPr>
      <w:r w:rsidRPr="00CD15DF">
        <w:t>Denmark</w:t>
      </w:r>
    </w:p>
    <w:p w:rsidR="00127B08" w:rsidRPr="00CD15DF" w:rsidRDefault="00127B08" w:rsidP="00127B08">
      <w:pPr>
        <w:pStyle w:val="BodyText"/>
      </w:pPr>
      <w:r w:rsidRPr="00CD15DF">
        <w:t>With regard to your query I can inform you that we (DaMSA) are not using AtoN categories 1, 2, and 3, as described in IALA Recommendation O-130 but our aim is to do it.</w:t>
      </w:r>
    </w:p>
    <w:p w:rsidR="00127B08" w:rsidRPr="00CD15DF" w:rsidRDefault="00127B08" w:rsidP="00127B08">
      <w:pPr>
        <w:pStyle w:val="BodyText"/>
      </w:pPr>
      <w:r w:rsidRPr="00CD15DF">
        <w:t>We are currently using our own instructions and manuals.</w:t>
      </w:r>
    </w:p>
    <w:p w:rsidR="00127B08" w:rsidRPr="00CD15DF" w:rsidRDefault="00127B08" w:rsidP="000D020A">
      <w:pPr>
        <w:pStyle w:val="Heading2"/>
      </w:pPr>
      <w:r w:rsidRPr="00CD15DF">
        <w:t>England &amp; Wales</w:t>
      </w:r>
    </w:p>
    <w:p w:rsidR="00127B08" w:rsidRPr="00CD15DF" w:rsidRDefault="00127B08" w:rsidP="00127B08">
      <w:pPr>
        <w:pStyle w:val="BodyText"/>
      </w:pPr>
      <w:r w:rsidRPr="00CD15DF">
        <w:t>We use the categories and availability criteria as laid down in O-130.</w:t>
      </w:r>
    </w:p>
    <w:p w:rsidR="00127B08" w:rsidRPr="00CD15DF" w:rsidRDefault="00127B08" w:rsidP="00127B08">
      <w:pPr>
        <w:pStyle w:val="BodyText"/>
        <w:rPr>
          <w:lang w:val="fr-FR"/>
        </w:rPr>
      </w:pPr>
      <w:r w:rsidRPr="00CD15DF">
        <w:t>I am pleased to advise that we continue to achieve the required standards for each category.</w:t>
      </w:r>
    </w:p>
    <w:p w:rsidR="000D020A" w:rsidRDefault="000D020A">
      <w:pPr>
        <w:rPr>
          <w:b/>
        </w:rPr>
      </w:pPr>
      <w:r>
        <w:rPr>
          <w:b/>
        </w:rPr>
        <w:br w:type="page"/>
      </w:r>
    </w:p>
    <w:p w:rsidR="00127B08" w:rsidRPr="00CD15DF" w:rsidRDefault="00127B08" w:rsidP="000D020A">
      <w:pPr>
        <w:pStyle w:val="Heading2"/>
      </w:pPr>
      <w:r w:rsidRPr="00CD15DF">
        <w:lastRenderedPageBreak/>
        <w:t>Germany</w:t>
      </w:r>
    </w:p>
    <w:p w:rsidR="00127B08" w:rsidRPr="00127B08" w:rsidRDefault="00127B08" w:rsidP="00127B08">
      <w:pPr>
        <w:pStyle w:val="BodyText"/>
        <w:rPr>
          <w:lang w:val="fr-FR"/>
        </w:rPr>
      </w:pPr>
      <w:r w:rsidRPr="00CD15DF">
        <w:rPr>
          <w:rFonts w:eastAsia="Times New Roman"/>
          <w:lang w:val="de-DE"/>
        </w:rPr>
        <w:t>Cat I (vital for navigation) 99.8% (3 years): required generally for most of the Short-Range-AtoN in the German coastal area</w:t>
      </w:r>
      <w:r w:rsidRPr="00CD15DF">
        <w:rPr>
          <w:lang w:val="de-DE"/>
        </w:rPr>
        <w:t xml:space="preserve"> (requirement generally achieved)</w:t>
      </w:r>
    </w:p>
    <w:p w:rsidR="00127B08" w:rsidRPr="00CD15DF" w:rsidRDefault="00127B08" w:rsidP="00127B08">
      <w:pPr>
        <w:pStyle w:val="BodyText"/>
        <w:rPr>
          <w:lang w:val="fr-FR"/>
        </w:rPr>
      </w:pPr>
      <w:r w:rsidRPr="00CD15DF">
        <w:rPr>
          <w:lang w:val="de-DE"/>
        </w:rPr>
        <w:t>Cat II (important for navigation) 99.0% (3 years): for visual marking of windfarms (according to IALA-Recommendation) (windfarm operator is obligated to meet this requirement)</w:t>
      </w:r>
    </w:p>
    <w:p w:rsidR="00127B08" w:rsidRPr="00CD15DF" w:rsidRDefault="00127B08" w:rsidP="00127B08">
      <w:pPr>
        <w:pStyle w:val="BodyText"/>
        <w:rPr>
          <w:lang w:val="de-DE"/>
        </w:rPr>
      </w:pPr>
      <w:r w:rsidRPr="00CD15DF">
        <w:rPr>
          <w:lang w:val="de-DE"/>
        </w:rPr>
        <w:t>Cat III (necessary for navigation) 97.0% (3 years):generally not sufficient for AtoN in the German coastal area, but could be taken into future consideration for some small buoys and withies.</w:t>
      </w:r>
    </w:p>
    <w:p w:rsidR="00127B08" w:rsidRPr="00CD15DF" w:rsidRDefault="00127B08" w:rsidP="00127B08">
      <w:pPr>
        <w:pStyle w:val="BodyText"/>
        <w:rPr>
          <w:lang w:val="de-DE"/>
        </w:rPr>
      </w:pPr>
      <w:r w:rsidRPr="00CD15DF">
        <w:rPr>
          <w:lang w:val="de-DE"/>
        </w:rPr>
        <w:t xml:space="preserve">By the way: </w:t>
      </w:r>
    </w:p>
    <w:p w:rsidR="00127B08" w:rsidRPr="00CD15DF" w:rsidRDefault="00127B08" w:rsidP="00127B08">
      <w:pPr>
        <w:pStyle w:val="BodyText"/>
        <w:rPr>
          <w:lang w:val="de-DE"/>
        </w:rPr>
      </w:pPr>
      <w:r w:rsidRPr="00CD15DF">
        <w:rPr>
          <w:lang w:val="de-DE"/>
        </w:rPr>
        <w:t xml:space="preserve">In </w:t>
      </w:r>
      <w:r>
        <w:rPr>
          <w:lang w:val="de-DE"/>
        </w:rPr>
        <w:t>the G</w:t>
      </w:r>
      <w:r w:rsidRPr="00CD15DF">
        <w:rPr>
          <w:lang w:val="de-DE"/>
        </w:rPr>
        <w:t xml:space="preserve">erman language "notwendig/erforderlich (translated: "necessary") would be stronger than "important" (translated: "wichtig"). </w:t>
      </w:r>
      <w:r>
        <w:rPr>
          <w:lang w:val="de-DE"/>
        </w:rPr>
        <w:t xml:space="preserve"> </w:t>
      </w:r>
      <w:r w:rsidRPr="00CD15DF">
        <w:rPr>
          <w:lang w:val="de-DE"/>
        </w:rPr>
        <w:t>Hence, we include "notwendig/erforderlich" in "vital" --&gt; 99,8 %.</w:t>
      </w:r>
    </w:p>
    <w:p w:rsidR="00127B08" w:rsidRPr="00CD15DF" w:rsidRDefault="00127B08" w:rsidP="00127B08">
      <w:pPr>
        <w:pStyle w:val="BodyText"/>
        <w:rPr>
          <w:lang w:val="de-DE"/>
        </w:rPr>
      </w:pPr>
      <w:r w:rsidRPr="00CD15DF">
        <w:rPr>
          <w:lang w:val="de-DE"/>
        </w:rPr>
        <w:t xml:space="preserve">Cat III in </w:t>
      </w:r>
      <w:r>
        <w:rPr>
          <w:lang w:val="de-DE"/>
        </w:rPr>
        <w:t>the G</w:t>
      </w:r>
      <w:r w:rsidRPr="00CD15DF">
        <w:rPr>
          <w:lang w:val="de-DE"/>
        </w:rPr>
        <w:t>erman language, I would guess, would be something</w:t>
      </w:r>
      <w:r>
        <w:rPr>
          <w:lang w:val="de-DE"/>
        </w:rPr>
        <w:t xml:space="preserve"> </w:t>
      </w:r>
      <w:r w:rsidRPr="00CD15DF">
        <w:rPr>
          <w:lang w:val="de-DE"/>
        </w:rPr>
        <w:t>like "of secondary or minor importance".</w:t>
      </w:r>
    </w:p>
    <w:p w:rsidR="00127B08" w:rsidRPr="00CD15DF" w:rsidRDefault="00127B08" w:rsidP="000D020A">
      <w:pPr>
        <w:pStyle w:val="Heading2"/>
      </w:pPr>
      <w:r w:rsidRPr="00CD15DF">
        <w:t>Ireland</w:t>
      </w:r>
    </w:p>
    <w:p w:rsidR="00127B08" w:rsidRPr="00CD15DF" w:rsidRDefault="00127B08" w:rsidP="00127B08">
      <w:pPr>
        <w:pStyle w:val="BodyText"/>
      </w:pPr>
      <w:r w:rsidRPr="00CD15DF">
        <w:rPr>
          <w:lang w:val="en-IE"/>
        </w:rPr>
        <w:t xml:space="preserve">The Commissioners of Irish Lights use the IALA Categories and gather availability statistics to ensure </w:t>
      </w:r>
      <w:r>
        <w:rPr>
          <w:lang w:val="en-IE"/>
        </w:rPr>
        <w:t xml:space="preserve">that </w:t>
      </w:r>
      <w:r w:rsidRPr="00CD15DF">
        <w:rPr>
          <w:lang w:val="en-IE"/>
        </w:rPr>
        <w:t>we are meeting these levels.</w:t>
      </w:r>
    </w:p>
    <w:p w:rsidR="00127B08" w:rsidRPr="00CD15DF" w:rsidRDefault="00127B08" w:rsidP="000D020A">
      <w:pPr>
        <w:pStyle w:val="Heading2"/>
      </w:pPr>
      <w:r w:rsidRPr="00CD15DF">
        <w:t>Japan</w:t>
      </w:r>
    </w:p>
    <w:p w:rsidR="00127B08" w:rsidRPr="00CD15DF" w:rsidRDefault="00127B08" w:rsidP="00127B08">
      <w:pPr>
        <w:pStyle w:val="BodyText"/>
      </w:pPr>
      <w:r w:rsidRPr="00CD15DF">
        <w:t>Japan Coast Guard uses the AtoN categories based on O-130 and achieves the availabilities set out in these categories.</w:t>
      </w:r>
    </w:p>
    <w:p w:rsidR="00127B08" w:rsidRPr="00CD15DF" w:rsidRDefault="00127B08" w:rsidP="00127B08">
      <w:pPr>
        <w:pStyle w:val="BodyText"/>
      </w:pPr>
      <w:r>
        <w:t xml:space="preserve">The Japan Coast Guard </w:t>
      </w:r>
      <w:r w:rsidRPr="00CD15DF">
        <w:t>adopted the standard procedure on the categorization and availability objectives for AtoN using the Recommendation O-130 since 2010.</w:t>
      </w:r>
    </w:p>
    <w:p w:rsidR="00127B08" w:rsidRPr="00CD15DF" w:rsidRDefault="00127B08" w:rsidP="00127B08">
      <w:pPr>
        <w:pStyle w:val="BodyText"/>
      </w:pPr>
      <w:r w:rsidRPr="00CD15DF">
        <w:t>However it is applied to not only short range AtoN but also other AtoN such as Loran, DGPS.</w:t>
      </w:r>
    </w:p>
    <w:p w:rsidR="00127B08" w:rsidRPr="00CD15DF" w:rsidRDefault="00127B08" w:rsidP="000D020A">
      <w:pPr>
        <w:pStyle w:val="Heading2"/>
      </w:pPr>
      <w:r w:rsidRPr="00CD15DF">
        <w:t>Korea</w:t>
      </w:r>
    </w:p>
    <w:p w:rsidR="00127B08" w:rsidRPr="00CD15DF" w:rsidRDefault="00127B08" w:rsidP="00127B08">
      <w:pPr>
        <w:pStyle w:val="BodyText"/>
        <w:rPr>
          <w:rFonts w:eastAsia="Dotum"/>
        </w:rPr>
      </w:pPr>
      <w:r w:rsidRPr="00CD15DF">
        <w:rPr>
          <w:rFonts w:eastAsia="Dotum"/>
        </w:rPr>
        <w:t>The Repu</w:t>
      </w:r>
      <w:r>
        <w:rPr>
          <w:rFonts w:eastAsia="Dotum"/>
        </w:rPr>
        <w:t xml:space="preserve">blic of KOREA </w:t>
      </w:r>
      <w:r w:rsidRPr="00CD15DF">
        <w:rPr>
          <w:rFonts w:eastAsia="Dotum"/>
        </w:rPr>
        <w:t>uses AtoN categories as described in O-130.</w:t>
      </w:r>
    </w:p>
    <w:p w:rsidR="00127B08" w:rsidRPr="00CD15DF" w:rsidRDefault="00127B08" w:rsidP="00127B08">
      <w:pPr>
        <w:pStyle w:val="BodyText"/>
      </w:pPr>
      <w:r w:rsidRPr="00CD15DF">
        <w:rPr>
          <w:rFonts w:eastAsia="Dotum"/>
        </w:rPr>
        <w:t>Our availability objectives are: Cat I - 99.8%, Cat II - 99.0% and Cat III- 97.0%</w:t>
      </w:r>
    </w:p>
    <w:p w:rsidR="00127B08" w:rsidRPr="00CD15DF" w:rsidRDefault="00127B08" w:rsidP="000D020A">
      <w:pPr>
        <w:pStyle w:val="Heading2"/>
      </w:pPr>
      <w:r w:rsidRPr="00CD15DF">
        <w:t>Latvia</w:t>
      </w:r>
    </w:p>
    <w:p w:rsidR="00127B08" w:rsidRPr="00CD15DF" w:rsidRDefault="00127B08" w:rsidP="00127B08">
      <w:pPr>
        <w:pStyle w:val="BodyText"/>
      </w:pPr>
      <w:r w:rsidRPr="00CD15DF">
        <w:t xml:space="preserve">Latvia has implemented </w:t>
      </w:r>
      <w:r>
        <w:t xml:space="preserve">the IALA </w:t>
      </w:r>
      <w:proofErr w:type="gramStart"/>
      <w:r w:rsidRPr="00CD15DF">
        <w:t>categories,</w:t>
      </w:r>
      <w:proofErr w:type="gramEnd"/>
      <w:r w:rsidRPr="00CD15DF">
        <w:t xml:space="preserve"> however we are still trying to reach those objectives.  Severe ice conditions like last winter do not allow us to comply with the stated recommendations.</w:t>
      </w:r>
    </w:p>
    <w:p w:rsidR="00127B08" w:rsidRPr="00833E20" w:rsidRDefault="00127B08" w:rsidP="000D020A">
      <w:pPr>
        <w:pStyle w:val="Heading2"/>
      </w:pPr>
      <w:r w:rsidRPr="00833E20">
        <w:t>Norway</w:t>
      </w:r>
    </w:p>
    <w:p w:rsidR="00127B08" w:rsidRPr="00CD15DF" w:rsidRDefault="00127B08" w:rsidP="00127B08">
      <w:pPr>
        <w:pStyle w:val="BodyText"/>
      </w:pPr>
      <w:r w:rsidRPr="00CD15DF">
        <w:t>Please be advised that we follow O-130.</w:t>
      </w:r>
    </w:p>
    <w:p w:rsidR="00127B08" w:rsidRPr="00CD15DF" w:rsidRDefault="00127B08" w:rsidP="00127B08">
      <w:pPr>
        <w:pStyle w:val="BodyText"/>
      </w:pPr>
      <w:r w:rsidRPr="00CD15DF">
        <w:t>That is we practice some local adaptations of the categorisation of the aids</w:t>
      </w:r>
      <w:proofErr w:type="gramStart"/>
      <w:r w:rsidRPr="00CD15DF">
        <w:t>. Action</w:t>
      </w:r>
      <w:proofErr w:type="gramEnd"/>
      <w:r w:rsidRPr="00CD15DF">
        <w:t xml:space="preserve"> to restore aids that are considered to be more important are subsequently done more immediate by the region concerned. </w:t>
      </w:r>
      <w:r>
        <w:t xml:space="preserve"> </w:t>
      </w:r>
      <w:r w:rsidRPr="00CD15DF">
        <w:t>As you will understand there remain</w:t>
      </w:r>
      <w:r>
        <w:t>s</w:t>
      </w:r>
      <w:r w:rsidRPr="00CD15DF">
        <w:t xml:space="preserve"> some categorisation work to be done system wide / nationally.</w:t>
      </w:r>
    </w:p>
    <w:p w:rsidR="00127B08" w:rsidRPr="00CD15DF" w:rsidRDefault="00127B08" w:rsidP="00127B08">
      <w:pPr>
        <w:pStyle w:val="BodyText"/>
      </w:pPr>
      <w:r w:rsidRPr="00CD15DF">
        <w:t>I find it somewhat difficult to divide the aids into categories, as the importance of the aid may depend on the circumstances</w:t>
      </w:r>
      <w:proofErr w:type="gramStart"/>
      <w:r w:rsidRPr="00CD15DF">
        <w:t xml:space="preserve">. </w:t>
      </w:r>
      <w:proofErr w:type="gramEnd"/>
      <w:r w:rsidRPr="00CD15DF">
        <w:t>Anyway, a large part of the aids along our coast that send out a light or radio signal would be of Category 1.</w:t>
      </w:r>
    </w:p>
    <w:p w:rsidR="00127B08" w:rsidRPr="00CD15DF" w:rsidRDefault="00127B08" w:rsidP="00127B08">
      <w:pPr>
        <w:pStyle w:val="BodyText"/>
      </w:pPr>
      <w:r w:rsidRPr="00CD15DF">
        <w:t xml:space="preserve">Availability </w:t>
      </w:r>
      <w:r>
        <w:t>is</w:t>
      </w:r>
      <w:r w:rsidRPr="00CD15DF">
        <w:t xml:space="preserve"> calculated for lighthouses, sector and other minor lights, buoys and racons together, with an availability objective of 99.8</w:t>
      </w:r>
      <w:r>
        <w:t>%.</w:t>
      </w:r>
    </w:p>
    <w:p w:rsidR="00127B08" w:rsidRPr="00CD15DF" w:rsidRDefault="00127B08" w:rsidP="00127B08">
      <w:pPr>
        <w:pStyle w:val="BodyText"/>
      </w:pPr>
      <w:r w:rsidRPr="00CD15DF">
        <w:t>The figure below indicates the availability for five regions and Svalbard.</w:t>
      </w:r>
      <w:r>
        <w:t xml:space="preserve"> </w:t>
      </w:r>
      <w:r w:rsidRPr="00CD15DF">
        <w:t xml:space="preserve"> (Operating data for the few aids at Svalbard are actually not recorded yet (Season: </w:t>
      </w:r>
      <w:r>
        <w:t>June/July – November/December)</w:t>
      </w:r>
      <w:r w:rsidRPr="00CD15DF">
        <w:t>)</w:t>
      </w:r>
    </w:p>
    <w:p w:rsidR="00127B08" w:rsidRPr="00CD15DF" w:rsidRDefault="00127B08" w:rsidP="00127B08">
      <w:pPr>
        <w:rPr>
          <w:rFonts w:cs="Arial"/>
        </w:rPr>
      </w:pPr>
    </w:p>
    <w:p w:rsidR="00127B08" w:rsidRPr="00CD15DF" w:rsidRDefault="00775F38" w:rsidP="00127B08">
      <w:pPr>
        <w:jc w:val="center"/>
        <w:rPr>
          <w:rFonts w:cs="Arial"/>
          <w:lang w:val="nb-NO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144770" cy="3562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B08" w:rsidRPr="00CD15DF" w:rsidRDefault="00127B08" w:rsidP="00127B08">
      <w:pPr>
        <w:pStyle w:val="Figure"/>
        <w:rPr>
          <w:lang w:val="nb-NO"/>
        </w:rPr>
      </w:pPr>
      <w:r>
        <w:t>A</w:t>
      </w:r>
      <w:r w:rsidRPr="00CD15DF">
        <w:t>vailability for five regions and Svalbard</w:t>
      </w:r>
    </w:p>
    <w:p w:rsidR="00127B08" w:rsidRPr="00CD15DF" w:rsidRDefault="00127B08" w:rsidP="00127B08">
      <w:pPr>
        <w:pStyle w:val="BodyText"/>
      </w:pPr>
      <w:r w:rsidRPr="00CD15DF">
        <w:t xml:space="preserve">Low availability in two regions </w:t>
      </w:r>
      <w:r>
        <w:t>is</w:t>
      </w:r>
      <w:r w:rsidRPr="00CD15DF">
        <w:t xml:space="preserve"> because of lights being out of order for an extended period (broken electrical cables etc.). </w:t>
      </w:r>
      <w:r>
        <w:t xml:space="preserve"> </w:t>
      </w:r>
      <w:r w:rsidRPr="00CD15DF">
        <w:t xml:space="preserve">These could, I believe, have been taken out of the calculation if duly notified in </w:t>
      </w:r>
      <w:proofErr w:type="spellStart"/>
      <w:r w:rsidRPr="00CD15DF">
        <w:t>NtM</w:t>
      </w:r>
      <w:proofErr w:type="spellEnd"/>
      <w:r w:rsidRPr="00CD15DF">
        <w:t>.</w:t>
      </w:r>
    </w:p>
    <w:p w:rsidR="00127B08" w:rsidRPr="00CD15DF" w:rsidRDefault="00127B08" w:rsidP="00127B08">
      <w:pPr>
        <w:pStyle w:val="BodyText"/>
      </w:pPr>
      <w:r w:rsidRPr="00CD15DF">
        <w:t xml:space="preserve">Extinguished period calculated: “date lit” – “date extinguished” + 1. </w:t>
      </w:r>
      <w:r>
        <w:t xml:space="preserve"> </w:t>
      </w:r>
      <w:r w:rsidRPr="00CD15DF">
        <w:t>Example: When date extinguished is the same as date lit, 1 day is calculated.</w:t>
      </w:r>
    </w:p>
    <w:p w:rsidR="00127B08" w:rsidRPr="00CD15DF" w:rsidRDefault="00127B08" w:rsidP="00127B08">
      <w:pPr>
        <w:pStyle w:val="BodyText"/>
      </w:pPr>
      <w:r w:rsidRPr="00CD15DF">
        <w:t>Please also note that we depend on reports from the users to get it right</w:t>
      </w:r>
      <w:proofErr w:type="gramStart"/>
      <w:r w:rsidRPr="00CD15DF">
        <w:t xml:space="preserve">. </w:t>
      </w:r>
      <w:proofErr w:type="gramEnd"/>
      <w:r w:rsidRPr="00CD15DF">
        <w:t>Further, in parts of the country there are long light days during summer, which could be an advantage with respect to the availability calculation.</w:t>
      </w:r>
    </w:p>
    <w:p w:rsidR="00127B08" w:rsidRPr="00833E20" w:rsidRDefault="00127B08" w:rsidP="000D020A">
      <w:pPr>
        <w:pStyle w:val="Heading2"/>
      </w:pPr>
      <w:r w:rsidRPr="00833E20">
        <w:t>Portugal</w:t>
      </w:r>
    </w:p>
    <w:p w:rsidR="00127B08" w:rsidRPr="00CD15DF" w:rsidRDefault="00127B08" w:rsidP="00127B08">
      <w:pPr>
        <w:pStyle w:val="BodyText"/>
      </w:pPr>
      <w:r w:rsidRPr="00CD15DF">
        <w:rPr>
          <w:lang w:val="en-US"/>
        </w:rPr>
        <w:t>Portugal is currently implementing the ATON categories as described in O-130.</w:t>
      </w:r>
    </w:p>
    <w:p w:rsidR="00127B08" w:rsidRPr="00833E20" w:rsidRDefault="00127B08" w:rsidP="000D020A">
      <w:pPr>
        <w:pStyle w:val="Heading2"/>
      </w:pPr>
      <w:r w:rsidRPr="00833E20">
        <w:t>Scotland</w:t>
      </w:r>
    </w:p>
    <w:p w:rsidR="00127B08" w:rsidRPr="00CD15DF" w:rsidRDefault="00127B08" w:rsidP="000D020A">
      <w:pPr>
        <w:pStyle w:val="BodyText"/>
      </w:pPr>
      <w:r w:rsidRPr="00CD15DF">
        <w:t>NLB uses IALA categories</w:t>
      </w:r>
    </w:p>
    <w:p w:rsidR="00127B08" w:rsidRPr="00833E20" w:rsidRDefault="00127B08" w:rsidP="000D020A">
      <w:pPr>
        <w:pStyle w:val="Heading2"/>
      </w:pPr>
      <w:r w:rsidRPr="00833E20">
        <w:t>Spain</w:t>
      </w:r>
    </w:p>
    <w:p w:rsidR="00127B08" w:rsidRPr="00CD15DF" w:rsidRDefault="00127B08" w:rsidP="00127B08">
      <w:pPr>
        <w:pStyle w:val="BodyText"/>
        <w:rPr>
          <w:lang w:val="en"/>
        </w:rPr>
      </w:pPr>
      <w:r w:rsidRPr="00CD15DF">
        <w:rPr>
          <w:lang w:val="en"/>
        </w:rPr>
        <w:t>Spain</w:t>
      </w:r>
      <w:r>
        <w:rPr>
          <w:lang w:val="en"/>
        </w:rPr>
        <w:t xml:space="preserve"> uses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IALA </w:t>
      </w:r>
      <w:r w:rsidRPr="00CD15DF">
        <w:rPr>
          <w:rStyle w:val="hps"/>
          <w:rFonts w:cs="Arial"/>
          <w:lang w:val="en"/>
        </w:rPr>
        <w:t>categories</w:t>
      </w:r>
      <w:r w:rsidRPr="00CD15DF">
        <w:rPr>
          <w:lang w:val="en"/>
        </w:rPr>
        <w:t xml:space="preserve"> for the </w:t>
      </w:r>
      <w:r w:rsidRPr="00CD15DF">
        <w:rPr>
          <w:rStyle w:val="hps"/>
          <w:rFonts w:cs="Arial"/>
          <w:lang w:val="en"/>
        </w:rPr>
        <w:t>annual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report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of</w:t>
      </w:r>
      <w:r w:rsidRPr="00CD15DF">
        <w:rPr>
          <w:lang w:val="en"/>
        </w:rPr>
        <w:t xml:space="preserve"> service </w:t>
      </w:r>
      <w:r w:rsidRPr="00CD15DF">
        <w:rPr>
          <w:rStyle w:val="hps"/>
          <w:rFonts w:cs="Arial"/>
          <w:lang w:val="en"/>
        </w:rPr>
        <w:t>quality.</w:t>
      </w:r>
      <w:r>
        <w:rPr>
          <w:rStyle w:val="hps"/>
          <w:rFonts w:cs="Arial"/>
          <w:lang w:val="en"/>
        </w:rPr>
        <w:t xml:space="preserve"> 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For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now</w:t>
      </w:r>
      <w:r w:rsidRPr="00CD15DF">
        <w:rPr>
          <w:lang w:val="en"/>
        </w:rPr>
        <w:t xml:space="preserve">,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designation</w:t>
      </w:r>
      <w:r w:rsidRPr="00CD15DF">
        <w:rPr>
          <w:rStyle w:val="hps"/>
          <w:rFonts w:cs="Arial"/>
          <w:lang w:val="en"/>
        </w:rPr>
        <w:t xml:space="preserve"> of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each category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(for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moment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we're not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used to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groups of aids</w:t>
      </w:r>
      <w:r w:rsidRPr="00CD15DF">
        <w:rPr>
          <w:lang w:val="en"/>
        </w:rPr>
        <w:t xml:space="preserve">) has been </w:t>
      </w:r>
      <w:r w:rsidRPr="00CD15DF">
        <w:rPr>
          <w:rStyle w:val="hps"/>
          <w:rFonts w:cs="Arial"/>
          <w:lang w:val="en"/>
        </w:rPr>
        <w:t>left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to the criteria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of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 responsible agencies,</w:t>
      </w:r>
      <w:r w:rsidRPr="00CD15DF">
        <w:rPr>
          <w:lang w:val="en"/>
        </w:rPr>
        <w:t xml:space="preserve"> based on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IALA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definitions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for each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of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them</w:t>
      </w:r>
      <w:r w:rsidRPr="00CD15DF">
        <w:rPr>
          <w:lang w:val="en"/>
        </w:rPr>
        <w:t>.</w:t>
      </w:r>
    </w:p>
    <w:p w:rsidR="00127B08" w:rsidRPr="00CD15DF" w:rsidRDefault="00127B08" w:rsidP="00127B08">
      <w:pPr>
        <w:pStyle w:val="BodyText"/>
        <w:rPr>
          <w:lang w:val="en"/>
        </w:rPr>
      </w:pPr>
      <w:r w:rsidRPr="00CD15DF">
        <w:rPr>
          <w:lang w:val="en"/>
        </w:rPr>
        <w:t>We have develop</w:t>
      </w:r>
      <w:r>
        <w:rPr>
          <w:lang w:val="en"/>
        </w:rPr>
        <w:t>ed</w:t>
      </w:r>
      <w:r w:rsidRPr="00CD15DF">
        <w:rPr>
          <w:lang w:val="en"/>
        </w:rPr>
        <w:t xml:space="preserve"> a national recommendation about the categorization</w:t>
      </w:r>
      <w:r>
        <w:rPr>
          <w:lang w:val="en"/>
        </w:rPr>
        <w:t>:</w:t>
      </w:r>
    </w:p>
    <w:p w:rsidR="00127B08" w:rsidRPr="00CD15DF" w:rsidRDefault="00127B08" w:rsidP="00127B08">
      <w:pPr>
        <w:pStyle w:val="BodyText"/>
        <w:rPr>
          <w:lang w:val="en"/>
        </w:rPr>
      </w:pPr>
      <w:r>
        <w:rPr>
          <w:lang w:val="en"/>
        </w:rPr>
        <w:t>Cat1:</w:t>
      </w:r>
      <w:r w:rsidRPr="00CD15DF">
        <w:rPr>
          <w:lang w:val="en"/>
        </w:rPr>
        <w:t xml:space="preserve"> Lights whit nominal range more than 7 MN; Racons; AIS-AtoN; Aids to marking dangers, some leading lines for narrow access</w:t>
      </w:r>
    </w:p>
    <w:p w:rsidR="00127B08" w:rsidRPr="00CD15DF" w:rsidRDefault="00127B08" w:rsidP="00127B08">
      <w:pPr>
        <w:pStyle w:val="BodyText"/>
        <w:rPr>
          <w:lang w:val="en"/>
        </w:rPr>
      </w:pPr>
      <w:r w:rsidRPr="00CD15DF">
        <w:rPr>
          <w:lang w:val="en"/>
        </w:rPr>
        <w:t>Cat2: Lights between 3-7 MN; DGPS (with overlapping coverage)</w:t>
      </w:r>
    </w:p>
    <w:p w:rsidR="00127B08" w:rsidRPr="00CD15DF" w:rsidRDefault="00127B08" w:rsidP="00127B08">
      <w:pPr>
        <w:pStyle w:val="BodyText"/>
        <w:rPr>
          <w:lang w:val="en"/>
        </w:rPr>
      </w:pPr>
      <w:r w:rsidRPr="00CD15DF">
        <w:rPr>
          <w:lang w:val="en"/>
        </w:rPr>
        <w:t>Cat3: Light &lt; 3 MN; fog signal; unlighted mark and other complementary mark: radar reflectors, RTE.</w:t>
      </w:r>
    </w:p>
    <w:p w:rsidR="00127B08" w:rsidRPr="00CD15DF" w:rsidRDefault="00127B08" w:rsidP="00127B08">
      <w:pPr>
        <w:pStyle w:val="BodyText"/>
        <w:rPr>
          <w:rStyle w:val="hps"/>
          <w:rFonts w:cs="Arial"/>
          <w:lang w:val="fr-FR"/>
        </w:rPr>
      </w:pPr>
      <w:r w:rsidRPr="00CD15DF">
        <w:rPr>
          <w:rStyle w:val="hps"/>
          <w:rFonts w:cs="Arial"/>
          <w:lang w:val="en"/>
        </w:rPr>
        <w:t>For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standardization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of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results at national or regional or set of AtoN (service)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we have defined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a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"</w:t>
      </w:r>
      <w:r w:rsidRPr="00CD15DF">
        <w:rPr>
          <w:lang w:val="en"/>
        </w:rPr>
        <w:t xml:space="preserve">weighted </w:t>
      </w:r>
      <w:r w:rsidRPr="00CD15DF">
        <w:rPr>
          <w:rStyle w:val="hps"/>
          <w:rFonts w:cs="Arial"/>
          <w:lang w:val="en"/>
        </w:rPr>
        <w:t>availability indicator</w:t>
      </w:r>
      <w:r w:rsidRPr="00CD15DF">
        <w:rPr>
          <w:lang w:val="en"/>
        </w:rPr>
        <w:t>" defined</w:t>
      </w:r>
      <w:r w:rsidRPr="00CD15DF">
        <w:rPr>
          <w:rStyle w:val="hps"/>
          <w:rFonts w:cs="Arial"/>
          <w:lang w:val="en"/>
        </w:rPr>
        <w:t xml:space="preserve"> like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the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sum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of availability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means of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each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category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to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which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we apply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a weight</w:t>
      </w:r>
      <w:r w:rsidRPr="00CD15DF">
        <w:rPr>
          <w:lang w:val="en"/>
        </w:rPr>
        <w:t>:</w:t>
      </w:r>
    </w:p>
    <w:p w:rsidR="00127B08" w:rsidRPr="00CD15DF" w:rsidRDefault="00127B08" w:rsidP="00127B08">
      <w:pPr>
        <w:pStyle w:val="BodyText"/>
      </w:pPr>
      <w:r w:rsidRPr="00CD15DF">
        <w:rPr>
          <w:rStyle w:val="hps"/>
          <w:rFonts w:cs="Arial"/>
          <w:lang w:val="en"/>
        </w:rPr>
        <w:lastRenderedPageBreak/>
        <w:t>Aw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=</w:t>
      </w:r>
      <w:r w:rsidRPr="00CD15DF">
        <w:rPr>
          <w:lang w:val="en"/>
        </w:rPr>
        <w:t xml:space="preserve"> </w:t>
      </w:r>
      <w:r>
        <w:rPr>
          <w:rStyle w:val="hps"/>
          <w:rFonts w:cs="Arial"/>
          <w:lang w:val="en"/>
        </w:rPr>
        <w:t>0.</w:t>
      </w:r>
      <w:r w:rsidRPr="00CD15DF">
        <w:rPr>
          <w:rStyle w:val="hps"/>
          <w:rFonts w:cs="Arial"/>
          <w:lang w:val="en"/>
        </w:rPr>
        <w:t>6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x</w:t>
      </w:r>
      <w:r w:rsidRPr="00CD15DF">
        <w:rPr>
          <w:lang w:val="en"/>
        </w:rPr>
        <w:t xml:space="preserve"> Acat1 </w:t>
      </w:r>
      <w:r w:rsidRPr="00CD15DF">
        <w:rPr>
          <w:rStyle w:val="hps"/>
          <w:rFonts w:cs="Arial"/>
          <w:lang w:val="en"/>
        </w:rPr>
        <w:t>+</w:t>
      </w:r>
      <w:r w:rsidRPr="00CD15DF">
        <w:rPr>
          <w:lang w:val="en"/>
        </w:rPr>
        <w:t xml:space="preserve"> </w:t>
      </w:r>
      <w:r>
        <w:rPr>
          <w:rStyle w:val="hps"/>
          <w:rFonts w:cs="Arial"/>
          <w:lang w:val="en"/>
        </w:rPr>
        <w:t>0.</w:t>
      </w:r>
      <w:r w:rsidRPr="00CD15DF">
        <w:rPr>
          <w:rStyle w:val="hps"/>
          <w:rFonts w:cs="Arial"/>
          <w:lang w:val="en"/>
        </w:rPr>
        <w:t>3</w:t>
      </w:r>
      <w:r>
        <w:rPr>
          <w:rStyle w:val="hps"/>
          <w:rFonts w:cs="Arial"/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x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Acat2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+</w:t>
      </w:r>
      <w:r w:rsidRPr="00CD15DF">
        <w:rPr>
          <w:lang w:val="en"/>
        </w:rPr>
        <w:t xml:space="preserve"> </w:t>
      </w:r>
      <w:r>
        <w:rPr>
          <w:rStyle w:val="hps"/>
          <w:rFonts w:cs="Arial"/>
          <w:lang w:val="en"/>
        </w:rPr>
        <w:t>0.</w:t>
      </w:r>
      <w:r w:rsidRPr="00CD15DF">
        <w:rPr>
          <w:rStyle w:val="hps"/>
          <w:rFonts w:cs="Arial"/>
          <w:lang w:val="en"/>
        </w:rPr>
        <w:t>1</w:t>
      </w:r>
      <w:r w:rsidRPr="00CD15DF">
        <w:rPr>
          <w:lang w:val="en"/>
        </w:rPr>
        <w:t xml:space="preserve"> </w:t>
      </w:r>
      <w:r w:rsidRPr="00CD15DF">
        <w:rPr>
          <w:rStyle w:val="hps"/>
          <w:rFonts w:cs="Arial"/>
          <w:lang w:val="en"/>
        </w:rPr>
        <w:t>x</w:t>
      </w:r>
      <w:r w:rsidRPr="00CD15DF">
        <w:rPr>
          <w:lang w:val="en"/>
        </w:rPr>
        <w:t xml:space="preserve"> Acat</w:t>
      </w:r>
      <w:r w:rsidRPr="00CD15DF">
        <w:rPr>
          <w:rStyle w:val="hps"/>
          <w:rFonts w:cs="Arial"/>
          <w:lang w:val="en"/>
        </w:rPr>
        <w:t>3</w:t>
      </w:r>
      <w:r>
        <w:rPr>
          <w:rStyle w:val="hps"/>
          <w:rFonts w:cs="Arial"/>
          <w:lang w:val="en"/>
        </w:rPr>
        <w:t>.  Aw objective = 0.</w:t>
      </w:r>
      <w:r w:rsidRPr="00CD15DF">
        <w:rPr>
          <w:rStyle w:val="hps"/>
          <w:rFonts w:cs="Arial"/>
          <w:lang w:val="en"/>
        </w:rPr>
        <w:t xml:space="preserve">9928 (annual) </w:t>
      </w:r>
      <w:proofErr w:type="spellStart"/>
      <w:r w:rsidRPr="00CD15DF">
        <w:rPr>
          <w:rStyle w:val="hps"/>
          <w:rFonts w:cs="Arial"/>
          <w:lang w:val="en"/>
        </w:rPr>
        <w:t>Acat</w:t>
      </w:r>
      <w:proofErr w:type="spellEnd"/>
      <w:r>
        <w:rPr>
          <w:rStyle w:val="hps"/>
          <w:rFonts w:cs="Arial"/>
          <w:lang w:val="en"/>
        </w:rPr>
        <w:t xml:space="preserve"> ‘</w:t>
      </w:r>
      <w:r w:rsidRPr="00CD15DF">
        <w:rPr>
          <w:rStyle w:val="hps"/>
          <w:rFonts w:cs="Arial"/>
          <w:lang w:val="en"/>
        </w:rPr>
        <w:t>n</w:t>
      </w:r>
      <w:r>
        <w:rPr>
          <w:rStyle w:val="hps"/>
          <w:rFonts w:cs="Arial"/>
          <w:lang w:val="en"/>
        </w:rPr>
        <w:t>’</w:t>
      </w:r>
      <w:r w:rsidRPr="00CD15DF">
        <w:rPr>
          <w:rStyle w:val="hps"/>
          <w:rFonts w:cs="Arial"/>
          <w:lang w:val="en"/>
        </w:rPr>
        <w:t xml:space="preserve">= availability of category </w:t>
      </w:r>
      <w:r>
        <w:rPr>
          <w:rStyle w:val="hps"/>
          <w:rFonts w:cs="Arial"/>
          <w:lang w:val="en"/>
        </w:rPr>
        <w:t>‘</w:t>
      </w:r>
      <w:r w:rsidRPr="00CD15DF">
        <w:rPr>
          <w:rStyle w:val="hps"/>
          <w:rFonts w:cs="Arial"/>
          <w:lang w:val="en"/>
        </w:rPr>
        <w:t>n</w:t>
      </w:r>
      <w:r>
        <w:rPr>
          <w:rStyle w:val="hps"/>
          <w:rFonts w:cs="Arial"/>
          <w:lang w:val="en"/>
        </w:rPr>
        <w:t>’.</w:t>
      </w:r>
    </w:p>
    <w:p w:rsidR="00127B08" w:rsidRPr="00833E20" w:rsidRDefault="00127B08" w:rsidP="000D020A">
      <w:pPr>
        <w:pStyle w:val="Heading2"/>
      </w:pPr>
      <w:r w:rsidRPr="00833E20">
        <w:t>Sweden</w:t>
      </w:r>
    </w:p>
    <w:p w:rsidR="00127B08" w:rsidRPr="00CD15DF" w:rsidRDefault="00127B08" w:rsidP="00127B08">
      <w:pPr>
        <w:pStyle w:val="BodyText"/>
      </w:pPr>
      <w:r w:rsidRPr="00CD15DF">
        <w:rPr>
          <w:lang w:val="en"/>
        </w:rPr>
        <w:t xml:space="preserve">STA applied in </w:t>
      </w:r>
      <w:r w:rsidRPr="00CD15DF">
        <w:rPr>
          <w:rStyle w:val="hps"/>
          <w:rFonts w:cs="Arial"/>
          <w:lang w:val="en"/>
        </w:rPr>
        <w:t xml:space="preserve">collaboration </w:t>
      </w:r>
      <w:r w:rsidRPr="00CD15DF">
        <w:rPr>
          <w:lang w:val="en"/>
        </w:rPr>
        <w:t>with the SMA assigned categories in accordance with the O-130, which has resulted in continuous improvements in availability objectives.</w:t>
      </w:r>
    </w:p>
    <w:p w:rsidR="00127B08" w:rsidRPr="00833E20" w:rsidRDefault="00127B08" w:rsidP="000D020A">
      <w:pPr>
        <w:pStyle w:val="Heading2"/>
      </w:pPr>
      <w:r w:rsidRPr="00833E20">
        <w:t>USA</w:t>
      </w:r>
    </w:p>
    <w:p w:rsidR="00127B08" w:rsidRPr="00CD15DF" w:rsidRDefault="00127B08" w:rsidP="00127B08">
      <w:pPr>
        <w:pStyle w:val="BodyText"/>
      </w:pPr>
      <w:r w:rsidRPr="00CD15DF">
        <w:t>The U.S. uses AtoN categories as described in O-130.  Our availability objectives are:</w:t>
      </w:r>
    </w:p>
    <w:p w:rsidR="00127B08" w:rsidRPr="00CD15DF" w:rsidRDefault="00127B08" w:rsidP="00127B08">
      <w:pPr>
        <w:pStyle w:val="BodyText"/>
      </w:pPr>
      <w:r w:rsidRPr="00CD15DF">
        <w:t>Cat I (vital for navigation) - 99.8%</w:t>
      </w:r>
    </w:p>
    <w:p w:rsidR="00127B08" w:rsidRPr="00CD15DF" w:rsidRDefault="00127B08" w:rsidP="00127B08">
      <w:pPr>
        <w:pStyle w:val="BodyText"/>
      </w:pPr>
      <w:r w:rsidRPr="00CD15DF">
        <w:t>Cat II (important for navigation) - 99.0%</w:t>
      </w:r>
    </w:p>
    <w:p w:rsidR="00127B08" w:rsidRPr="00CD15DF" w:rsidRDefault="00127B08" w:rsidP="00127B08">
      <w:pPr>
        <w:pStyle w:val="BodyText"/>
      </w:pPr>
      <w:r w:rsidRPr="00CD15DF">
        <w:t>Cat III (necessary for navigation) - 97.0%</w:t>
      </w:r>
    </w:p>
    <w:sectPr w:rsidR="00127B08" w:rsidRPr="00CD15DF" w:rsidSect="0082480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C3" w:rsidRDefault="00557EC3" w:rsidP="00362CD9">
      <w:r>
        <w:separator/>
      </w:r>
    </w:p>
  </w:endnote>
  <w:endnote w:type="continuationSeparator" w:id="0">
    <w:p w:rsidR="00557EC3" w:rsidRDefault="00557EC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656E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C3" w:rsidRDefault="00557EC3" w:rsidP="00362CD9">
      <w:r>
        <w:separator/>
      </w:r>
    </w:p>
  </w:footnote>
  <w:footnote w:type="continuationSeparator" w:id="0">
    <w:p w:rsidR="00557EC3" w:rsidRDefault="00557EC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71" w:rsidRDefault="00127B08" w:rsidP="005E262D">
    <w:pPr>
      <w:pStyle w:val="Header"/>
      <w:jc w:val="right"/>
    </w:pPr>
    <w:r>
      <w:t>ANM17/INF/1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4598C"/>
    <w:rsid w:val="0004700E"/>
    <w:rsid w:val="00070C13"/>
    <w:rsid w:val="00084F33"/>
    <w:rsid w:val="000C1B3E"/>
    <w:rsid w:val="000D020A"/>
    <w:rsid w:val="00125C57"/>
    <w:rsid w:val="00127B08"/>
    <w:rsid w:val="00177F4D"/>
    <w:rsid w:val="00180DDA"/>
    <w:rsid w:val="001B2A2D"/>
    <w:rsid w:val="001B737D"/>
    <w:rsid w:val="001C44A3"/>
    <w:rsid w:val="001F528A"/>
    <w:rsid w:val="001F704E"/>
    <w:rsid w:val="002125B0"/>
    <w:rsid w:val="00243228"/>
    <w:rsid w:val="00251483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501BE2"/>
    <w:rsid w:val="005107EB"/>
    <w:rsid w:val="00521345"/>
    <w:rsid w:val="00526DF0"/>
    <w:rsid w:val="00545CC4"/>
    <w:rsid w:val="00551FFF"/>
    <w:rsid w:val="00557EC3"/>
    <w:rsid w:val="0057198B"/>
    <w:rsid w:val="00575190"/>
    <w:rsid w:val="005822AE"/>
    <w:rsid w:val="005A1049"/>
    <w:rsid w:val="005B32A3"/>
    <w:rsid w:val="005C566C"/>
    <w:rsid w:val="005C7E69"/>
    <w:rsid w:val="005E262D"/>
    <w:rsid w:val="005F7E20"/>
    <w:rsid w:val="00655FD8"/>
    <w:rsid w:val="006652C3"/>
    <w:rsid w:val="00691FD0"/>
    <w:rsid w:val="0069337D"/>
    <w:rsid w:val="006C5948"/>
    <w:rsid w:val="006F2A74"/>
    <w:rsid w:val="007118F5"/>
    <w:rsid w:val="00712AA4"/>
    <w:rsid w:val="00721AA1"/>
    <w:rsid w:val="007547F8"/>
    <w:rsid w:val="007628E2"/>
    <w:rsid w:val="007644F3"/>
    <w:rsid w:val="00765622"/>
    <w:rsid w:val="00775F38"/>
    <w:rsid w:val="00783FEA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43E9C"/>
    <w:rsid w:val="00953F4D"/>
    <w:rsid w:val="00960BB8"/>
    <w:rsid w:val="00964F5C"/>
    <w:rsid w:val="00992164"/>
    <w:rsid w:val="00A446C9"/>
    <w:rsid w:val="00A635D6"/>
    <w:rsid w:val="00A656E4"/>
    <w:rsid w:val="00A8553A"/>
    <w:rsid w:val="00A93AED"/>
    <w:rsid w:val="00AE1A9C"/>
    <w:rsid w:val="00AE3B26"/>
    <w:rsid w:val="00B226F2"/>
    <w:rsid w:val="00B274DF"/>
    <w:rsid w:val="00B56BDF"/>
    <w:rsid w:val="00B85CD6"/>
    <w:rsid w:val="00B90A27"/>
    <w:rsid w:val="00B9554D"/>
    <w:rsid w:val="00BB2B9F"/>
    <w:rsid w:val="00BD3CB8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9262E"/>
    <w:rsid w:val="00D92B45"/>
    <w:rsid w:val="00D95962"/>
    <w:rsid w:val="00DC389B"/>
    <w:rsid w:val="00E00BE9"/>
    <w:rsid w:val="00E22A11"/>
    <w:rsid w:val="00E55927"/>
    <w:rsid w:val="00E912A6"/>
    <w:rsid w:val="00EA4844"/>
    <w:rsid w:val="00EA4D9C"/>
    <w:rsid w:val="00EB75EE"/>
    <w:rsid w:val="00EE4C1D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character" w:customStyle="1" w:styleId="hps">
    <w:name w:val="hps"/>
    <w:rsid w:val="00127B08"/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character" w:customStyle="1" w:styleId="hps">
    <w:name w:val="hps"/>
    <w:rsid w:val="00127B08"/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6</cp:revision>
  <cp:lastPrinted>2011-06-14T07:50:00Z</cp:lastPrinted>
  <dcterms:created xsi:type="dcterms:W3CDTF">2011-06-14T07:34:00Z</dcterms:created>
  <dcterms:modified xsi:type="dcterms:W3CDTF">2011-06-14T08:51:00Z</dcterms:modified>
</cp:coreProperties>
</file>