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69AF6577" w:rsidR="00192FEB" w:rsidRDefault="0013794D" w:rsidP="00192FEB">
      <w:pPr>
        <w:pStyle w:val="Documentnumber"/>
      </w:pPr>
      <w:r>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81612A" w:rsidR="00D74AE1" w:rsidRPr="004259CB" w:rsidRDefault="005A181A" w:rsidP="00E270C5">
      <w:pPr>
        <w:pStyle w:val="Documentname"/>
      </w:pPr>
      <w:r>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A393DA8" w:rsidR="00D74AE1" w:rsidRPr="004259CB" w:rsidRDefault="00AD602E" w:rsidP="00E270C5">
      <w:pPr>
        <w:pStyle w:val="Documentdate"/>
      </w:pPr>
      <w:r>
        <w:t>May</w:t>
      </w:r>
      <w:r w:rsidR="004259CB">
        <w:t xml:space="preserve"> 2018</w:t>
      </w:r>
    </w:p>
    <w:p w14:paraId="1615B9F6" w14:textId="77777777" w:rsidR="00AD602E" w:rsidRDefault="00AD602E" w:rsidP="003274DB">
      <w:pPr>
        <w:rPr>
          <w:lang w:val="en-GB"/>
        </w:rPr>
        <w:sectPr w:rsidR="00AD602E"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41FB13D3" w14:textId="51F521D3" w:rsidR="00AD602E" w:rsidRDefault="00AD602E">
      <w:pPr>
        <w:spacing w:after="200" w:line="276" w:lineRule="auto"/>
        <w:rPr>
          <w:lang w:val="en-GB"/>
        </w:rPr>
      </w:pPr>
      <w:r>
        <w:rPr>
          <w:lang w:val="en-GB"/>
        </w:rPr>
        <w:lastRenderedPageBreak/>
        <w:br w:type="page"/>
      </w:r>
    </w:p>
    <w:p w14:paraId="04B24ADE" w14:textId="77777777" w:rsidR="0005546F" w:rsidRPr="0005546F" w:rsidRDefault="0005546F" w:rsidP="0005546F">
      <w:pPr>
        <w:spacing w:after="120"/>
        <w:rPr>
          <w:rFonts w:ascii="AvenirNext LT Pro Regular" w:hAnsi="AvenirNext LT Pro Regular"/>
          <w:b/>
          <w:sz w:val="22"/>
          <w:lang w:val="en-GB"/>
        </w:rPr>
      </w:pPr>
      <w:r w:rsidRPr="0005546F">
        <w:rPr>
          <w:rFonts w:ascii="AvenirNext LT Pro Regular" w:hAnsi="AvenirNext LT Pro Regular"/>
          <w:b/>
          <w:sz w:val="22"/>
          <w:lang w:val="en-GB"/>
        </w:rPr>
        <w:lastRenderedPageBreak/>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BEARING IN MIND</w:t>
      </w:r>
      <w:r w:rsidRPr="0005546F">
        <w:rPr>
          <w:rFonts w:ascii="AvenirNext LT Pro Regular" w:hAnsi="AvenirNext LT Pro Regular"/>
          <w:sz w:val="22"/>
          <w:lang w:val="en-GB"/>
        </w:rPr>
        <w:t xml:space="preserve"> the provisions of the United Nations Convention on the Law of the Sea (UNCLOS) and the Convention on the Safety of Life at Sea (SOLAS) </w:t>
      </w:r>
    </w:p>
    <w:p w14:paraId="405CEFB3"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RECOGNIZING</w:t>
      </w:r>
      <w:r w:rsidRPr="0005546F">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6488DC"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w:t>
      </w:r>
      <w:r w:rsidRPr="0005546F">
        <w:rPr>
          <w:rFonts w:ascii="AvenirNext LT Pro Regular" w:hAnsi="AvenirNext LT Pro Regular"/>
          <w:sz w:val="22"/>
          <w:lang w:val="en-GB"/>
        </w:rPr>
        <w:t xml:space="preserve"> Article 7 of the IALA Constitution regarding the authority, duties and functions of the General Assembly,</w:t>
      </w:r>
    </w:p>
    <w:p w14:paraId="53E329CD"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 ALSO</w:t>
      </w:r>
      <w:r w:rsidRPr="0005546F">
        <w:rPr>
          <w:rFonts w:ascii="AvenirNext LT Pro Regular" w:hAnsi="AvenirNext LT Pro Regular"/>
          <w:sz w:val="22"/>
          <w:lang w:val="en-GB"/>
        </w:rPr>
        <w:t xml:space="preserve"> </w:t>
      </w:r>
      <w:r w:rsidRPr="0005546F">
        <w:rPr>
          <w:rFonts w:ascii="AvenirNext LT Pro Regular" w:hAnsi="AvenirNext LT Pro Regular"/>
          <w:i/>
          <w:sz w:val="22"/>
          <w:lang w:val="en-GB"/>
        </w:rPr>
        <w:t>[insert brief background text related to the Standard]</w:t>
      </w:r>
    </w:p>
    <w:p w14:paraId="4CC77B0F"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HAVING CONSIDERED</w:t>
      </w:r>
      <w:r w:rsidRPr="0005546F">
        <w:rPr>
          <w:rFonts w:ascii="AvenirNext LT Pro Regular" w:hAnsi="AvenirNext LT Pro Regular"/>
          <w:sz w:val="22"/>
          <w:lang w:val="en-GB"/>
        </w:rPr>
        <w:t xml:space="preserve"> the advice of the Council</w:t>
      </w:r>
      <w:r w:rsidRPr="0005546F">
        <w:rPr>
          <w:rFonts w:ascii="AvenirNext LT Pro Regular" w:hAnsi="AvenirNext LT Pro Regular"/>
          <w:i/>
          <w:sz w:val="22"/>
          <w:lang w:val="en-GB"/>
        </w:rPr>
        <w:t xml:space="preserve"> </w:t>
      </w:r>
      <w:r w:rsidRPr="0005546F">
        <w:rPr>
          <w:rFonts w:ascii="AvenirNext LT Pro Regular" w:hAnsi="AvenirNext LT Pro Regular"/>
          <w:sz w:val="22"/>
          <w:lang w:val="en-GB"/>
        </w:rPr>
        <w:t>provided to General Assembly at its 13th Session</w:t>
      </w:r>
    </w:p>
    <w:p w14:paraId="1BC8C345" w14:textId="5AEE920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APPROVES</w:t>
      </w:r>
      <w:r w:rsidRPr="0005546F">
        <w:rPr>
          <w:rFonts w:ascii="AvenirNext LT Pro Regular" w:hAnsi="AvenirNext LT Pro Regular"/>
          <w:sz w:val="22"/>
          <w:lang w:val="en-GB"/>
        </w:rPr>
        <w:t xml:space="preserve"> the </w:t>
      </w:r>
      <w:r>
        <w:rPr>
          <w:rFonts w:ascii="AvenirNext LT Pro Regular" w:hAnsi="AvenirNext LT Pro Regular"/>
          <w:sz w:val="22"/>
          <w:lang w:val="en-GB"/>
        </w:rPr>
        <w:t>IALA Standard 103</w:t>
      </w:r>
      <w:r w:rsidRPr="0005546F">
        <w:rPr>
          <w:rFonts w:ascii="AvenirNext LT Pro Regular" w:hAnsi="AvenirNext LT Pro Regular"/>
          <w:sz w:val="22"/>
          <w:lang w:val="en-GB"/>
        </w:rPr>
        <w:t xml:space="preserve">0 </w:t>
      </w:r>
      <w:proofErr w:type="spellStart"/>
      <w:r>
        <w:rPr>
          <w:rFonts w:ascii="AvenirNext LT Pro Regular" w:hAnsi="AvenirNext LT Pro Regular"/>
          <w:sz w:val="22"/>
          <w:lang w:val="en-GB"/>
        </w:rPr>
        <w:t>Radionavigation</w:t>
      </w:r>
      <w:proofErr w:type="spellEnd"/>
      <w:r>
        <w:rPr>
          <w:rFonts w:ascii="AvenirNext LT Pro Regular" w:hAnsi="AvenirNext LT Pro Regular"/>
          <w:sz w:val="22"/>
          <w:lang w:val="en-GB"/>
        </w:rPr>
        <w:t xml:space="preserve"> Services</w:t>
      </w:r>
      <w:r w:rsidRPr="0005546F">
        <w:rPr>
          <w:rFonts w:ascii="AvenirNext LT Pro Regular" w:hAnsi="AvenirNext LT Pro Regular"/>
          <w:sz w:val="22"/>
          <w:lang w:val="en-GB"/>
        </w:rPr>
        <w:t>, and</w:t>
      </w:r>
    </w:p>
    <w:p w14:paraId="7FF7F937" w14:textId="77777777" w:rsidR="0005546F" w:rsidRPr="0005546F" w:rsidRDefault="0005546F" w:rsidP="0005546F">
      <w:pPr>
        <w:spacing w:after="240"/>
        <w:rPr>
          <w:rFonts w:ascii="AvenirNext LT Pro Regular" w:hAnsi="AvenirNext LT Pro Regular"/>
          <w:sz w:val="22"/>
          <w:lang w:val="en-GB"/>
        </w:rPr>
      </w:pPr>
      <w:proofErr w:type="gramStart"/>
      <w:r w:rsidRPr="0005546F">
        <w:rPr>
          <w:rFonts w:ascii="AvenirNext LT Pro Regular" w:hAnsi="AvenirNext LT Pro Regular"/>
          <w:b/>
          <w:sz w:val="22"/>
          <w:lang w:val="en-GB"/>
        </w:rPr>
        <w:t>INVITES</w:t>
      </w:r>
      <w:r w:rsidRPr="0005546F">
        <w:rPr>
          <w:rFonts w:ascii="AvenirNext LT Pro Regular" w:hAnsi="AvenirNext LT Pro Regular"/>
          <w:sz w:val="22"/>
          <w:lang w:val="en-GB"/>
        </w:rPr>
        <w:t xml:space="preserve"> Members and Marine Aids to Navigation Authorities world-wide to undertake to implement the provisions of the Standard.</w:t>
      </w:r>
      <w:proofErr w:type="gramEnd"/>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defaul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9C0F12">
          <w:rPr>
            <w:webHidden/>
          </w:rPr>
          <w:t>5</w:t>
        </w:r>
        <w:r w:rsidR="00757F9E">
          <w:rPr>
            <w:webHidden/>
          </w:rPr>
          <w:fldChar w:fldCharType="end"/>
        </w:r>
      </w:hyperlink>
    </w:p>
    <w:p w14:paraId="5A57CA93" w14:textId="77777777" w:rsidR="00757F9E" w:rsidRDefault="00D765E6">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9C0F12">
          <w:rPr>
            <w:webHidden/>
          </w:rPr>
          <w:t>5</w:t>
        </w:r>
        <w:r w:rsidR="00757F9E">
          <w:rPr>
            <w:webHidden/>
          </w:rPr>
          <w:fldChar w:fldCharType="end"/>
        </w:r>
      </w:hyperlink>
    </w:p>
    <w:p w14:paraId="75034B08" w14:textId="77777777" w:rsidR="00757F9E" w:rsidRDefault="00D765E6">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9C0F12">
          <w:rPr>
            <w:webHidden/>
          </w:rPr>
          <w:t>5</w:t>
        </w:r>
        <w:r w:rsidR="00757F9E">
          <w:rPr>
            <w:webHidden/>
          </w:rPr>
          <w:fldChar w:fldCharType="end"/>
        </w:r>
      </w:hyperlink>
    </w:p>
    <w:p w14:paraId="1A6265BF" w14:textId="77777777" w:rsidR="00757F9E" w:rsidRDefault="00D765E6">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9C0F12">
          <w:rPr>
            <w:webHidden/>
          </w:rPr>
          <w:t>5</w:t>
        </w:r>
        <w:r w:rsidR="00757F9E">
          <w:rPr>
            <w:webHidden/>
          </w:rPr>
          <w:fldChar w:fldCharType="end"/>
        </w:r>
      </w:hyperlink>
    </w:p>
    <w:p w14:paraId="4BE62355" w14:textId="77777777" w:rsidR="00757F9E" w:rsidRDefault="00D765E6">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9C0F12">
          <w:rPr>
            <w:webHidden/>
          </w:rPr>
          <w:t>6</w:t>
        </w:r>
        <w:r w:rsidR="00757F9E">
          <w:rPr>
            <w:webHidden/>
          </w:rPr>
          <w:fldChar w:fldCharType="end"/>
        </w:r>
      </w:hyperlink>
    </w:p>
    <w:p w14:paraId="56E650A4" w14:textId="77777777" w:rsidR="00757F9E" w:rsidRDefault="00D765E6">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9C0F12">
          <w:rPr>
            <w:webHidden/>
          </w:rPr>
          <w:t>6</w:t>
        </w:r>
        <w:r w:rsidR="00757F9E">
          <w:rPr>
            <w:webHidden/>
          </w:rPr>
          <w:fldChar w:fldCharType="end"/>
        </w:r>
      </w:hyperlink>
    </w:p>
    <w:p w14:paraId="5CB07878" w14:textId="77777777" w:rsidR="00757F9E" w:rsidRDefault="00D765E6">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9C0F12">
          <w:rPr>
            <w:webHidden/>
          </w:rPr>
          <w:t>6</w:t>
        </w:r>
        <w:r w:rsidR="00757F9E">
          <w:rPr>
            <w:webHidden/>
          </w:rPr>
          <w:fldChar w:fldCharType="end"/>
        </w:r>
      </w:hyperlink>
    </w:p>
    <w:p w14:paraId="790A8C13" w14:textId="77777777" w:rsidR="00757F9E" w:rsidRDefault="00D765E6">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9C0F12">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150420A7" w14:textId="77777777" w:rsidR="0005546F" w:rsidRPr="006B6BA8" w:rsidRDefault="0005546F" w:rsidP="00716B1B">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5A655DD0" w14:textId="77777777" w:rsidR="0005546F" w:rsidRPr="006B6BA8" w:rsidRDefault="0005546F" w:rsidP="00716B1B">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rsidP="0005546F">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2BB2A3A0" w:rsidR="004259CB" w:rsidRPr="004259CB" w:rsidRDefault="004259CB" w:rsidP="004259CB">
      <w:pPr>
        <w:pStyle w:val="BodyText"/>
      </w:pPr>
      <w:r w:rsidRPr="004259CB">
        <w:t xml:space="preserve">The IALA Strategic Vision for the period 2014-2026, adopted by the General Assembly in 2014, </w:t>
      </w:r>
      <w:r w:rsidR="00E80A6F">
        <w:t xml:space="preserve">includes </w:t>
      </w:r>
      <w:r w:rsidR="00D2257E">
        <w:t>the</w:t>
      </w:r>
      <w:r w:rsidRPr="004259CB">
        <w:t xml:space="preserve"> Goal</w:t>
      </w:r>
      <w:r w:rsidR="00E80A6F">
        <w:t xml:space="preserve"> </w:t>
      </w:r>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44EEF83D"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49D22990" w:rsidR="004259CB" w:rsidRPr="004259CB" w:rsidRDefault="00EB5131" w:rsidP="004259CB">
      <w:pPr>
        <w:pStyle w:val="BodyText"/>
      </w:pPr>
      <w:r>
        <w:t>IALA Standards may contain normative and i</w:t>
      </w:r>
      <w:r w:rsidR="004259CB" w:rsidRPr="004259CB">
        <w:t>nformative provisions.</w:t>
      </w:r>
    </w:p>
    <w:p w14:paraId="14AB05F0" w14:textId="48F907C9" w:rsidR="004259CB" w:rsidRPr="004259CB" w:rsidRDefault="004259CB" w:rsidP="004259CB">
      <w:pPr>
        <w:pStyle w:val="BodyText"/>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14:paraId="2239D81C" w14:textId="1A6D7AB8" w:rsidR="00E77E7B" w:rsidRDefault="005A181A" w:rsidP="004259CB">
      <w:pPr>
        <w:pStyle w:val="Bullet1"/>
      </w:pPr>
      <w:r>
        <w:t>Satellite systems for positioning and timing</w:t>
      </w:r>
    </w:p>
    <w:p w14:paraId="7509B158" w14:textId="0FE81456" w:rsidR="005A181A" w:rsidRDefault="005A181A" w:rsidP="004259CB">
      <w:pPr>
        <w:pStyle w:val="Bullet1"/>
      </w:pPr>
      <w:r>
        <w:t>Terrestrial systems for positioning and timing</w:t>
      </w:r>
    </w:p>
    <w:p w14:paraId="589965ED" w14:textId="7EED3F70" w:rsidR="005A181A" w:rsidRDefault="005A181A" w:rsidP="004259CB">
      <w:pPr>
        <w:pStyle w:val="Bullet1"/>
      </w:pPr>
      <w:proofErr w:type="spellStart"/>
      <w:r>
        <w:lastRenderedPageBreak/>
        <w:t>Racon</w:t>
      </w:r>
      <w:proofErr w:type="spellEnd"/>
      <w:r>
        <w:t xml:space="preserve"> and radar positioning</w:t>
      </w:r>
    </w:p>
    <w:p w14:paraId="5560D58C" w14:textId="760CDA87" w:rsidR="005A181A" w:rsidRPr="00BE0675" w:rsidRDefault="005A181A" w:rsidP="004259CB">
      <w:pPr>
        <w:pStyle w:val="Bullet1"/>
      </w:pPr>
      <w:r>
        <w:t>Terrestrial positioning augmentation services (DGNSS)</w:t>
      </w:r>
    </w:p>
    <w:p w14:paraId="26337B12" w14:textId="2C89075D" w:rsidR="004259CB" w:rsidRPr="004259CB" w:rsidRDefault="004259CB" w:rsidP="004259CB">
      <w:pPr>
        <w:pStyle w:val="Heading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3DAD94A0" w14:textId="68A5B24A" w:rsidR="00A01FC7" w:rsidRPr="004259CB" w:rsidRDefault="00A01FC7" w:rsidP="00A01FC7">
      <w:pPr>
        <w:pStyle w:val="BodyText"/>
      </w:pPr>
      <w:bookmarkStart w:id="23" w:name="_Toc455589139"/>
      <w:bookmarkEnd w:id="23"/>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5141CBBC" w:rsidR="004259CB" w:rsidRPr="004259CB" w:rsidRDefault="004259CB" w:rsidP="004259CB">
      <w:pPr>
        <w:pStyle w:val="Textedesaisie"/>
        <w:rPr>
          <w:lang w:val="en-GB"/>
        </w:rPr>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4259CB" w14:paraId="0C5F35C5" w14:textId="77777777" w:rsidTr="00EB5131">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438"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205219FA" w14:textId="77777777" w:rsidTr="00EB5131">
        <w:trPr>
          <w:jc w:val="center"/>
        </w:trPr>
        <w:tc>
          <w:tcPr>
            <w:tcW w:w="2526" w:type="dxa"/>
          </w:tcPr>
          <w:p w14:paraId="200E7977" w14:textId="7C5E89A9" w:rsidR="005A181A" w:rsidRPr="00085375" w:rsidRDefault="005A181A" w:rsidP="00BA0EEF">
            <w:pPr>
              <w:spacing w:before="120" w:after="120"/>
              <w:rPr>
                <w:b/>
                <w:sz w:val="22"/>
                <w:lang w:val="en-GB"/>
              </w:rPr>
            </w:pPr>
            <w:proofErr w:type="spellStart"/>
            <w:r w:rsidRPr="005A181A">
              <w:rPr>
                <w:b/>
                <w:sz w:val="22"/>
                <w:lang w:val="en-GB"/>
              </w:rPr>
              <w:t>Racon</w:t>
            </w:r>
            <w:proofErr w:type="spellEnd"/>
            <w:r w:rsidRPr="005A181A">
              <w:rPr>
                <w:b/>
                <w:sz w:val="22"/>
                <w:lang w:val="en-GB"/>
              </w:rPr>
              <w:t xml:space="preserve"> and radar positioning</w:t>
            </w:r>
          </w:p>
        </w:tc>
        <w:tc>
          <w:tcPr>
            <w:tcW w:w="1438" w:type="dxa"/>
          </w:tcPr>
          <w:p w14:paraId="6656869F" w14:textId="62B9AF32" w:rsidR="005A181A" w:rsidRDefault="00EB5131" w:rsidP="000F6D40">
            <w:pPr>
              <w:spacing w:before="120" w:after="120"/>
              <w:rPr>
                <w:sz w:val="22"/>
                <w:lang w:val="en-GB"/>
              </w:rPr>
            </w:pPr>
            <w:r>
              <w:rPr>
                <w:sz w:val="22"/>
                <w:lang w:val="en-GB"/>
              </w:rPr>
              <w:t>1030-</w:t>
            </w:r>
            <w:commentRangeStart w:id="24"/>
            <w:r>
              <w:rPr>
                <w:sz w:val="22"/>
                <w:lang w:val="en-GB"/>
              </w:rPr>
              <w:t>R100</w:t>
            </w:r>
            <w:commentRangeEnd w:id="24"/>
            <w:r>
              <w:rPr>
                <w:rStyle w:val="CommentReference"/>
              </w:rPr>
              <w:commentReference w:id="24"/>
            </w:r>
            <w:r w:rsidR="000F6D40">
              <w:rPr>
                <w:sz w:val="22"/>
                <w:lang w:val="en-GB"/>
              </w:rPr>
              <w:t>6</w:t>
            </w:r>
          </w:p>
        </w:tc>
        <w:tc>
          <w:tcPr>
            <w:tcW w:w="6237" w:type="dxa"/>
          </w:tcPr>
          <w:p w14:paraId="20776B0A" w14:textId="575BB0DB" w:rsidR="005A181A" w:rsidRPr="00085375" w:rsidRDefault="005A181A" w:rsidP="00BA0EEF">
            <w:pPr>
              <w:spacing w:before="120" w:after="120"/>
              <w:rPr>
                <w:sz w:val="22"/>
                <w:lang w:val="en-GB"/>
              </w:rPr>
            </w:pPr>
            <w:r w:rsidRPr="005A181A">
              <w:rPr>
                <w:sz w:val="22"/>
                <w:lang w:val="en-GB"/>
              </w:rPr>
              <w:t>Marine Radar Beacons (</w:t>
            </w:r>
            <w:proofErr w:type="spellStart"/>
            <w:r w:rsidRPr="005A181A">
              <w:rPr>
                <w:sz w:val="22"/>
                <w:lang w:val="en-GB"/>
              </w:rPr>
              <w:t>racons</w:t>
            </w:r>
            <w:proofErr w:type="spellEnd"/>
            <w:r w:rsidRPr="005A181A">
              <w:rPr>
                <w:sz w:val="22"/>
                <w:lang w:val="en-GB"/>
              </w:rPr>
              <w:t>)</w:t>
            </w:r>
          </w:p>
        </w:tc>
      </w:tr>
      <w:tr w:rsidR="005A181A" w:rsidRPr="004259CB" w14:paraId="27B03AA1" w14:textId="77777777" w:rsidTr="00EB5131">
        <w:trPr>
          <w:jc w:val="center"/>
        </w:trPr>
        <w:tc>
          <w:tcPr>
            <w:tcW w:w="2526" w:type="dxa"/>
            <w:vMerge w:val="restart"/>
          </w:tcPr>
          <w:p w14:paraId="3216B14E" w14:textId="70814F5D" w:rsidR="005A181A" w:rsidRPr="00085375" w:rsidRDefault="005A181A" w:rsidP="00BA0EEF">
            <w:pPr>
              <w:spacing w:before="120" w:after="120"/>
              <w:rPr>
                <w:b/>
                <w:sz w:val="22"/>
                <w:lang w:val="en-GB"/>
              </w:rPr>
            </w:pPr>
            <w:r w:rsidRPr="005A181A">
              <w:rPr>
                <w:b/>
                <w:sz w:val="22"/>
                <w:lang w:val="en-GB"/>
              </w:rPr>
              <w:t>Terrestrial augmentation services (DGNSS)</w:t>
            </w:r>
          </w:p>
        </w:tc>
        <w:tc>
          <w:tcPr>
            <w:tcW w:w="1438" w:type="dxa"/>
          </w:tcPr>
          <w:p w14:paraId="2B9CBA1B" w14:textId="7D38C62A" w:rsidR="005A181A" w:rsidRDefault="00605474" w:rsidP="00605474">
            <w:pPr>
              <w:spacing w:before="120" w:after="120"/>
              <w:rPr>
                <w:sz w:val="22"/>
                <w:lang w:val="en-GB"/>
              </w:rPr>
            </w:pPr>
            <w:r>
              <w:rPr>
                <w:sz w:val="22"/>
                <w:lang w:val="en-GB"/>
              </w:rPr>
              <w:t>1030-</w:t>
            </w:r>
            <w:r w:rsidR="00A467BA">
              <w:rPr>
                <w:sz w:val="22"/>
                <w:lang w:val="en-GB"/>
              </w:rPr>
              <w:t>R0115</w:t>
            </w:r>
            <w:r>
              <w:rPr>
                <w:sz w:val="22"/>
                <w:lang w:val="en-GB"/>
              </w:rPr>
              <w:t>(</w:t>
            </w:r>
            <w:r w:rsidR="005A181A">
              <w:rPr>
                <w:sz w:val="22"/>
                <w:lang w:val="en-GB"/>
              </w:rPr>
              <w:t>R-115</w:t>
            </w:r>
            <w:r>
              <w:rPr>
                <w:sz w:val="22"/>
                <w:lang w:val="en-GB"/>
              </w:rPr>
              <w:t>)</w:t>
            </w:r>
          </w:p>
        </w:tc>
        <w:tc>
          <w:tcPr>
            <w:tcW w:w="6237" w:type="dxa"/>
          </w:tcPr>
          <w:p w14:paraId="369C5D33" w14:textId="78160376" w:rsidR="005A181A" w:rsidRPr="00085375" w:rsidRDefault="005A181A" w:rsidP="00BA0EEF">
            <w:pPr>
              <w:spacing w:before="120" w:after="120"/>
              <w:rPr>
                <w:sz w:val="22"/>
                <w:lang w:val="en-GB"/>
              </w:rPr>
            </w:pPr>
            <w:r w:rsidRPr="005A181A">
              <w:rPr>
                <w:sz w:val="22"/>
                <w:lang w:val="en-GB"/>
              </w:rPr>
              <w:t xml:space="preserve">The Provision </w:t>
            </w:r>
            <w:r w:rsidR="003D445B">
              <w:rPr>
                <w:sz w:val="22"/>
                <w:lang w:val="en-GB"/>
              </w:rPr>
              <w:t>o</w:t>
            </w:r>
            <w:r w:rsidRPr="005A181A">
              <w:rPr>
                <w:sz w:val="22"/>
                <w:lang w:val="en-GB"/>
              </w:rPr>
              <w:t xml:space="preserve">f Maritime </w:t>
            </w:r>
            <w:proofErr w:type="spellStart"/>
            <w:r w:rsidRPr="005A181A">
              <w:rPr>
                <w:sz w:val="22"/>
                <w:lang w:val="en-GB"/>
              </w:rPr>
              <w:t>Radionavigation</w:t>
            </w:r>
            <w:proofErr w:type="spellEnd"/>
            <w:r w:rsidRPr="005A181A">
              <w:rPr>
                <w:sz w:val="22"/>
                <w:lang w:val="en-GB"/>
              </w:rPr>
              <w:t xml:space="preserve"> Services </w:t>
            </w:r>
            <w:r w:rsidR="003D445B">
              <w:rPr>
                <w:sz w:val="22"/>
                <w:lang w:val="en-GB"/>
              </w:rPr>
              <w:t>i</w:t>
            </w:r>
            <w:r w:rsidRPr="005A181A">
              <w:rPr>
                <w:sz w:val="22"/>
                <w:lang w:val="en-GB"/>
              </w:rPr>
              <w:t xml:space="preserve">n </w:t>
            </w:r>
            <w:r w:rsidR="003D445B">
              <w:rPr>
                <w:sz w:val="22"/>
                <w:lang w:val="en-GB"/>
              </w:rPr>
              <w:t>t</w:t>
            </w:r>
            <w:r w:rsidRPr="005A181A">
              <w:rPr>
                <w:sz w:val="22"/>
                <w:lang w:val="en-GB"/>
              </w:rPr>
              <w:t xml:space="preserve">he Frequency Band 283.5-315 kHz </w:t>
            </w:r>
            <w:r w:rsidR="003D445B">
              <w:rPr>
                <w:sz w:val="22"/>
                <w:lang w:val="en-GB"/>
              </w:rPr>
              <w:t>i</w:t>
            </w:r>
            <w:r w:rsidRPr="005A181A">
              <w:rPr>
                <w:sz w:val="22"/>
                <w:lang w:val="en-GB"/>
              </w:rPr>
              <w:t xml:space="preserve">n Region 1 and 285-325 kHz </w:t>
            </w:r>
            <w:r w:rsidR="003D445B">
              <w:rPr>
                <w:sz w:val="22"/>
                <w:lang w:val="en-GB"/>
              </w:rPr>
              <w:t>i</w:t>
            </w:r>
            <w:r w:rsidRPr="005A181A">
              <w:rPr>
                <w:sz w:val="22"/>
                <w:lang w:val="en-GB"/>
              </w:rPr>
              <w:t xml:space="preserve">n Region 2 </w:t>
            </w:r>
            <w:r w:rsidR="003D445B">
              <w:rPr>
                <w:sz w:val="22"/>
                <w:lang w:val="en-GB"/>
              </w:rPr>
              <w:t>a</w:t>
            </w:r>
            <w:r w:rsidRPr="005A181A">
              <w:rPr>
                <w:sz w:val="22"/>
                <w:lang w:val="en-GB"/>
              </w:rPr>
              <w:t>nd 3</w:t>
            </w:r>
          </w:p>
        </w:tc>
      </w:tr>
      <w:tr w:rsidR="005A181A" w:rsidRPr="004259CB" w14:paraId="77E65FB5" w14:textId="77777777" w:rsidTr="00EB5131">
        <w:trPr>
          <w:jc w:val="center"/>
        </w:trPr>
        <w:tc>
          <w:tcPr>
            <w:tcW w:w="2526" w:type="dxa"/>
            <w:vMerge/>
          </w:tcPr>
          <w:p w14:paraId="2EC608CF" w14:textId="2F4A2CF0" w:rsidR="005A181A" w:rsidRPr="00085375" w:rsidRDefault="005A181A" w:rsidP="00BA0EEF">
            <w:pPr>
              <w:spacing w:before="120" w:after="120"/>
              <w:rPr>
                <w:b/>
                <w:sz w:val="22"/>
                <w:lang w:val="en-GB"/>
              </w:rPr>
            </w:pPr>
          </w:p>
        </w:tc>
        <w:tc>
          <w:tcPr>
            <w:tcW w:w="1438" w:type="dxa"/>
          </w:tcPr>
          <w:p w14:paraId="7E4CAA43" w14:textId="4062E51D" w:rsidR="005A181A" w:rsidRDefault="00605474" w:rsidP="00605474">
            <w:pPr>
              <w:spacing w:before="120" w:after="120"/>
              <w:rPr>
                <w:sz w:val="22"/>
                <w:lang w:val="en-GB"/>
              </w:rPr>
            </w:pPr>
            <w:r>
              <w:rPr>
                <w:sz w:val="22"/>
                <w:lang w:val="en-GB"/>
              </w:rPr>
              <w:t>1030-</w:t>
            </w:r>
            <w:r w:rsidR="00A467BA">
              <w:rPr>
                <w:sz w:val="22"/>
                <w:lang w:val="en-GB"/>
              </w:rPr>
              <w:t>R0121</w:t>
            </w:r>
            <w:r>
              <w:rPr>
                <w:sz w:val="22"/>
                <w:lang w:val="en-GB"/>
              </w:rPr>
              <w:t>(</w:t>
            </w:r>
            <w:r w:rsidR="005A181A">
              <w:rPr>
                <w:sz w:val="22"/>
                <w:lang w:val="en-GB"/>
              </w:rPr>
              <w:t>R-121</w:t>
            </w:r>
            <w:r>
              <w:rPr>
                <w:sz w:val="22"/>
                <w:lang w:val="en-GB"/>
              </w:rPr>
              <w:t>)</w:t>
            </w:r>
          </w:p>
        </w:tc>
        <w:tc>
          <w:tcPr>
            <w:tcW w:w="6237" w:type="dxa"/>
          </w:tcPr>
          <w:p w14:paraId="5E2CCDF7" w14:textId="48604E44" w:rsidR="005A181A" w:rsidRPr="00085375" w:rsidRDefault="005A181A" w:rsidP="00BA0EEF">
            <w:pPr>
              <w:spacing w:before="120" w:after="120"/>
              <w:rPr>
                <w:sz w:val="22"/>
                <w:lang w:val="en-GB"/>
              </w:rPr>
            </w:pPr>
            <w:r w:rsidRPr="005A181A">
              <w:rPr>
                <w:sz w:val="22"/>
                <w:lang w:val="en-GB"/>
              </w:rPr>
              <w:t>The Performance and Monitoring of DGNSS Services in the Frequency Band 283.5 - 325 kHz</w:t>
            </w:r>
          </w:p>
        </w:tc>
      </w:tr>
    </w:tbl>
    <w:p w14:paraId="05EE7EB0" w14:textId="6FB117EF" w:rsidR="004259CB" w:rsidRPr="004259CB" w:rsidRDefault="004259CB" w:rsidP="004259CB">
      <w:pPr>
        <w:rPr>
          <w:lang w:val="en-GB"/>
        </w:rPr>
      </w:pPr>
      <w:bookmarkStart w:id="25" w:name="_Toc432687601"/>
      <w:bookmarkEnd w:id="25"/>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A01FC7">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65B866AA" w14:textId="77777777" w:rsidTr="004259CB">
        <w:trPr>
          <w:jc w:val="center"/>
        </w:trPr>
        <w:tc>
          <w:tcPr>
            <w:tcW w:w="2526" w:type="dxa"/>
          </w:tcPr>
          <w:p w14:paraId="5B2074F4" w14:textId="7E6061EA" w:rsidR="005A181A" w:rsidRDefault="005A181A" w:rsidP="00BA0EEF">
            <w:pPr>
              <w:spacing w:before="120" w:after="120"/>
              <w:rPr>
                <w:b/>
                <w:sz w:val="22"/>
                <w:lang w:val="en-GB"/>
              </w:rPr>
            </w:pPr>
            <w:proofErr w:type="spellStart"/>
            <w:r w:rsidRPr="005A181A">
              <w:rPr>
                <w:b/>
                <w:sz w:val="22"/>
                <w:lang w:val="en-GB"/>
              </w:rPr>
              <w:t>Racon</w:t>
            </w:r>
            <w:proofErr w:type="spellEnd"/>
            <w:r w:rsidRPr="005A181A">
              <w:rPr>
                <w:b/>
                <w:sz w:val="22"/>
                <w:lang w:val="en-GB"/>
              </w:rPr>
              <w:t xml:space="preserve"> and radar positioning</w:t>
            </w:r>
          </w:p>
        </w:tc>
        <w:tc>
          <w:tcPr>
            <w:tcW w:w="984" w:type="dxa"/>
          </w:tcPr>
          <w:p w14:paraId="07338E55" w14:textId="3287069E" w:rsidR="005A181A" w:rsidRDefault="005A181A" w:rsidP="00BA0EEF">
            <w:pPr>
              <w:spacing w:before="120" w:after="120"/>
              <w:rPr>
                <w:sz w:val="22"/>
                <w:lang w:val="en-GB"/>
              </w:rPr>
            </w:pPr>
            <w:commentRangeStart w:id="26"/>
            <w:del w:id="27" w:author="Jeffkins, David" w:date="2017-03-29T19:06:00Z">
              <w:r w:rsidDel="002C7BC1">
                <w:rPr>
                  <w:sz w:val="22"/>
                  <w:lang w:val="en-GB"/>
                </w:rPr>
                <w:delText>e-NAV 146</w:delText>
              </w:r>
              <w:commentRangeEnd w:id="26"/>
              <w:r w:rsidR="00A467BA" w:rsidDel="002C7BC1">
                <w:rPr>
                  <w:rStyle w:val="CommentReference"/>
                </w:rPr>
                <w:commentReference w:id="26"/>
              </w:r>
            </w:del>
          </w:p>
        </w:tc>
        <w:tc>
          <w:tcPr>
            <w:tcW w:w="6237" w:type="dxa"/>
          </w:tcPr>
          <w:p w14:paraId="5FE8169D" w14:textId="2AFF1E80" w:rsidR="005A181A" w:rsidRPr="00085375" w:rsidRDefault="005A181A" w:rsidP="00BA0EEF">
            <w:pPr>
              <w:spacing w:before="120" w:after="120"/>
              <w:rPr>
                <w:sz w:val="22"/>
                <w:lang w:val="en-GB"/>
              </w:rPr>
            </w:pPr>
            <w:del w:id="28" w:author="Jeffkins, David" w:date="2017-03-29T19:06:00Z">
              <w:r w:rsidRPr="005A181A" w:rsidDel="002C7BC1">
                <w:rPr>
                  <w:sz w:val="22"/>
                  <w:lang w:val="en-GB"/>
                </w:rPr>
                <w:delText>Strategy for Maintaining Racon Service Capability</w:delText>
              </w:r>
            </w:del>
          </w:p>
        </w:tc>
      </w:tr>
      <w:tr w:rsidR="00217BFF" w:rsidRPr="004259CB" w14:paraId="6C562D26" w14:textId="77777777" w:rsidTr="004259CB">
        <w:trPr>
          <w:jc w:val="center"/>
        </w:trPr>
        <w:tc>
          <w:tcPr>
            <w:tcW w:w="2526" w:type="dxa"/>
            <w:vMerge w:val="restart"/>
          </w:tcPr>
          <w:p w14:paraId="576041D1" w14:textId="7AA235F2" w:rsidR="00217BFF" w:rsidRDefault="00217BFF" w:rsidP="00BA0EEF">
            <w:pPr>
              <w:spacing w:before="120" w:after="120"/>
              <w:rPr>
                <w:b/>
                <w:sz w:val="22"/>
                <w:lang w:val="en-GB"/>
              </w:rPr>
            </w:pPr>
            <w:r w:rsidRPr="005A181A">
              <w:rPr>
                <w:b/>
                <w:sz w:val="22"/>
                <w:lang w:val="en-GB"/>
              </w:rPr>
              <w:t>Terrestrial augmentation services (DGNSS)</w:t>
            </w:r>
          </w:p>
        </w:tc>
        <w:tc>
          <w:tcPr>
            <w:tcW w:w="984" w:type="dxa"/>
          </w:tcPr>
          <w:p w14:paraId="22C9E28B" w14:textId="40ED5B7B" w:rsidR="00217BFF" w:rsidRDefault="00605474" w:rsidP="00605474">
            <w:pPr>
              <w:spacing w:before="120" w:after="120"/>
              <w:rPr>
                <w:sz w:val="22"/>
                <w:lang w:val="en-GB"/>
              </w:rPr>
            </w:pPr>
            <w:r>
              <w:rPr>
                <w:sz w:val="22"/>
                <w:lang w:val="en-GB"/>
              </w:rPr>
              <w:t>1030-</w:t>
            </w:r>
            <w:r w:rsidR="000B230E">
              <w:rPr>
                <w:sz w:val="22"/>
                <w:lang w:val="en-GB"/>
              </w:rPr>
              <w:t>R0129</w:t>
            </w:r>
            <w:r>
              <w:rPr>
                <w:sz w:val="22"/>
                <w:lang w:val="en-GB"/>
              </w:rPr>
              <w:t>(</w:t>
            </w:r>
            <w:r w:rsidR="00217BFF">
              <w:rPr>
                <w:sz w:val="22"/>
                <w:lang w:val="en-GB"/>
              </w:rPr>
              <w:t>R-129</w:t>
            </w:r>
            <w:r>
              <w:rPr>
                <w:sz w:val="22"/>
                <w:lang w:val="en-GB"/>
              </w:rPr>
              <w:t>)</w:t>
            </w:r>
          </w:p>
        </w:tc>
        <w:tc>
          <w:tcPr>
            <w:tcW w:w="6237" w:type="dxa"/>
          </w:tcPr>
          <w:p w14:paraId="3604AC63" w14:textId="571207E3" w:rsidR="00217BFF" w:rsidRPr="00085375" w:rsidRDefault="00217BFF" w:rsidP="00BA0EEF">
            <w:pPr>
              <w:spacing w:before="120" w:after="120"/>
              <w:rPr>
                <w:sz w:val="22"/>
                <w:lang w:val="en-GB"/>
              </w:rPr>
            </w:pPr>
            <w:r w:rsidRPr="005A181A">
              <w:rPr>
                <w:sz w:val="22"/>
                <w:lang w:val="en-GB"/>
              </w:rPr>
              <w:t>GNSS Vulnerability and Mitigation Measures</w:t>
            </w:r>
          </w:p>
        </w:tc>
      </w:tr>
      <w:tr w:rsidR="00217BFF" w:rsidRPr="004259CB" w14:paraId="3A1ABBCB" w14:textId="77777777" w:rsidTr="004259CB">
        <w:trPr>
          <w:jc w:val="center"/>
          <w:ins w:id="29" w:author="Jeffkins, David" w:date="2017-03-29T18:58:00Z"/>
        </w:trPr>
        <w:tc>
          <w:tcPr>
            <w:tcW w:w="2526" w:type="dxa"/>
            <w:vMerge/>
          </w:tcPr>
          <w:p w14:paraId="2F084E41" w14:textId="1B670123" w:rsidR="00217BFF" w:rsidRDefault="00217BFF" w:rsidP="00BA0EEF">
            <w:pPr>
              <w:spacing w:before="120" w:after="120"/>
              <w:rPr>
                <w:ins w:id="30" w:author="Jeffkins, David" w:date="2017-03-29T18:58:00Z"/>
                <w:b/>
                <w:sz w:val="22"/>
                <w:lang w:val="en-GB"/>
              </w:rPr>
            </w:pPr>
          </w:p>
        </w:tc>
        <w:tc>
          <w:tcPr>
            <w:tcW w:w="984" w:type="dxa"/>
          </w:tcPr>
          <w:p w14:paraId="6CAEECED" w14:textId="5616480D" w:rsidR="00217BFF" w:rsidRDefault="00605474" w:rsidP="004568ED">
            <w:pPr>
              <w:spacing w:before="120" w:after="120"/>
              <w:rPr>
                <w:ins w:id="31" w:author="Jeffkins, David" w:date="2017-03-29T18:58:00Z"/>
                <w:sz w:val="22"/>
                <w:lang w:val="en-GB"/>
              </w:rPr>
            </w:pPr>
            <w:r>
              <w:rPr>
                <w:sz w:val="22"/>
                <w:lang w:val="en-GB"/>
              </w:rPr>
              <w:t>1030-</w:t>
            </w:r>
            <w:ins w:id="32" w:author="Jeffkins, David" w:date="2017-03-29T18:58:00Z">
              <w:r w:rsidR="00217BFF">
                <w:rPr>
                  <w:sz w:val="22"/>
                  <w:lang w:val="en-GB"/>
                </w:rPr>
                <w:t>R0150</w:t>
              </w:r>
            </w:ins>
            <w:r>
              <w:rPr>
                <w:sz w:val="22"/>
                <w:lang w:val="en-GB"/>
              </w:rPr>
              <w:t>(R-150)</w:t>
            </w:r>
          </w:p>
        </w:tc>
        <w:tc>
          <w:tcPr>
            <w:tcW w:w="6237" w:type="dxa"/>
          </w:tcPr>
          <w:p w14:paraId="0DC42DB9" w14:textId="602A0EDC" w:rsidR="00217BFF" w:rsidRDefault="00217BFF" w:rsidP="00BA0EEF">
            <w:pPr>
              <w:spacing w:before="120" w:after="120"/>
              <w:rPr>
                <w:ins w:id="33" w:author="Jeffkins, David" w:date="2017-03-29T18:58:00Z"/>
                <w:sz w:val="22"/>
                <w:lang w:val="en-GB"/>
              </w:rPr>
            </w:pPr>
            <w:ins w:id="34" w:author="Jeffkins, David" w:date="2017-03-29T18:58:00Z">
              <w:r>
                <w:rPr>
                  <w:sz w:val="22"/>
                  <w:lang w:val="en-GB"/>
                </w:rPr>
                <w:t>DGNSS service provision upgrade and future use</w:t>
              </w:r>
            </w:ins>
          </w:p>
        </w:tc>
      </w:tr>
      <w:tr w:rsidR="00217BFF" w:rsidRPr="004259CB" w14:paraId="665D1884" w14:textId="77777777" w:rsidTr="004259CB">
        <w:trPr>
          <w:jc w:val="center"/>
        </w:trPr>
        <w:tc>
          <w:tcPr>
            <w:tcW w:w="2526" w:type="dxa"/>
            <w:vMerge/>
          </w:tcPr>
          <w:p w14:paraId="410F0D2E" w14:textId="450E5CB5" w:rsidR="00217BFF" w:rsidRDefault="00217BFF" w:rsidP="00BA0EEF">
            <w:pPr>
              <w:spacing w:before="120" w:after="120"/>
              <w:rPr>
                <w:b/>
                <w:sz w:val="22"/>
                <w:lang w:val="en-GB"/>
              </w:rPr>
            </w:pPr>
          </w:p>
        </w:tc>
        <w:tc>
          <w:tcPr>
            <w:tcW w:w="984" w:type="dxa"/>
          </w:tcPr>
          <w:p w14:paraId="797979A5" w14:textId="4CE2C469" w:rsidR="00217BFF" w:rsidRDefault="00217BFF" w:rsidP="00BA0EEF">
            <w:pPr>
              <w:spacing w:before="120" w:after="120"/>
              <w:rPr>
                <w:sz w:val="22"/>
                <w:lang w:val="en-GB"/>
              </w:rPr>
            </w:pPr>
            <w:commentRangeStart w:id="35"/>
            <w:del w:id="36" w:author="Jeffkins, David" w:date="2017-03-29T19:05:00Z">
              <w:r w:rsidDel="002C7BC1">
                <w:rPr>
                  <w:sz w:val="22"/>
                  <w:lang w:val="en-GB"/>
                </w:rPr>
                <w:delText>R-135</w:delText>
              </w:r>
              <w:commentRangeEnd w:id="35"/>
              <w:r w:rsidR="002C7BC1" w:rsidDel="002C7BC1">
                <w:rPr>
                  <w:rStyle w:val="CommentReference"/>
                </w:rPr>
                <w:commentReference w:id="35"/>
              </w:r>
            </w:del>
          </w:p>
        </w:tc>
        <w:tc>
          <w:tcPr>
            <w:tcW w:w="6237" w:type="dxa"/>
          </w:tcPr>
          <w:p w14:paraId="443CAA46" w14:textId="492A867D" w:rsidR="00217BFF" w:rsidRPr="00085375" w:rsidRDefault="00217BFF" w:rsidP="00BA0EEF">
            <w:pPr>
              <w:spacing w:before="120" w:after="120"/>
              <w:rPr>
                <w:sz w:val="22"/>
                <w:lang w:val="en-GB"/>
              </w:rPr>
            </w:pPr>
            <w:del w:id="37" w:author="Jeffkins, David" w:date="2017-03-29T19:04:00Z">
              <w:r w:rsidDel="002C7BC1">
                <w:rPr>
                  <w:sz w:val="22"/>
                  <w:lang w:val="en-GB"/>
                </w:rPr>
                <w:delText>The Future of DGNSS</w:delText>
              </w:r>
            </w:del>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38" w:name="_Toc464136443"/>
      <w:bookmarkStart w:id="39" w:name="_Toc464139609"/>
      <w:r w:rsidRPr="004259CB">
        <w:rPr>
          <w:caps w:val="0"/>
        </w:rPr>
        <w:t>SUPPLEMENTARY ELEMENTS</w:t>
      </w:r>
      <w:bookmarkEnd w:id="38"/>
      <w:bookmarkEnd w:id="39"/>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40" w:name="_Toc464033448"/>
      <w:bookmarkStart w:id="41" w:name="_Toc464136444"/>
      <w:bookmarkStart w:id="42" w:name="_Toc464139610"/>
      <w:r w:rsidRPr="004259CB">
        <w:rPr>
          <w:caps w:val="0"/>
        </w:rPr>
        <w:t>ADOPTION OF AND AMENDMENT OF STANDARDS</w:t>
      </w:r>
      <w:bookmarkEnd w:id="40"/>
      <w:bookmarkEnd w:id="41"/>
      <w:bookmarkEnd w:id="42"/>
    </w:p>
    <w:p w14:paraId="62034E75" w14:textId="77777777" w:rsidR="004259CB" w:rsidRPr="004259CB" w:rsidRDefault="004259CB" w:rsidP="004259CB">
      <w:pPr>
        <w:pStyle w:val="Sparationtitre1"/>
        <w:rPr>
          <w:lang w:val="en-GB"/>
        </w:rPr>
      </w:pPr>
    </w:p>
    <w:p w14:paraId="33E5B8DE" w14:textId="7BDF56B3" w:rsidR="004259CB" w:rsidRPr="004259CB" w:rsidRDefault="004259CB" w:rsidP="004259CB">
      <w:pPr>
        <w:pStyle w:val="BodyText"/>
      </w:pPr>
      <w:r w:rsidRPr="004259CB">
        <w:t>IALA Standards may be adopted or amended by a majority</w:t>
      </w:r>
      <w:r w:rsidR="00A631CD">
        <w:t xml:space="preserve"> vote </w:t>
      </w:r>
      <w:proofErr w:type="gramStart"/>
      <w:r w:rsidR="00A631CD">
        <w:t>at a General Assembly of N</w:t>
      </w:r>
      <w:r w:rsidRPr="004259CB">
        <w:t>ational members</w:t>
      </w:r>
      <w:proofErr w:type="gramEnd"/>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43" w:name="_Toc464033449"/>
      <w:bookmarkStart w:id="44" w:name="_Toc455589152"/>
      <w:bookmarkStart w:id="45" w:name="_Toc455589153"/>
      <w:bookmarkStart w:id="46" w:name="_Toc455589154"/>
      <w:bookmarkStart w:id="47" w:name="_Toc455589155"/>
      <w:bookmarkStart w:id="48" w:name="_Toc455589156"/>
      <w:bookmarkStart w:id="49" w:name="_Toc455589157"/>
      <w:bookmarkStart w:id="50" w:name="_Toc455589158"/>
      <w:bookmarkStart w:id="51" w:name="_Toc455589159"/>
      <w:bookmarkStart w:id="52" w:name="_Toc455589160"/>
      <w:bookmarkStart w:id="53" w:name="_Toc455589161"/>
      <w:bookmarkStart w:id="54" w:name="_Toc455589162"/>
      <w:bookmarkStart w:id="55" w:name="_Toc455589163"/>
      <w:bookmarkStart w:id="56" w:name="_Toc455589164"/>
      <w:bookmarkStart w:id="57" w:name="_Toc455589165"/>
      <w:bookmarkStart w:id="58" w:name="_Toc455589166"/>
      <w:bookmarkStart w:id="59" w:name="_Toc455589167"/>
      <w:bookmarkStart w:id="60" w:name="_Toc455589168"/>
      <w:bookmarkStart w:id="61" w:name="_Toc455589169"/>
      <w:bookmarkStart w:id="62" w:name="_Toc455589170"/>
      <w:bookmarkStart w:id="63" w:name="_Toc455589171"/>
      <w:bookmarkStart w:id="64" w:name="_Toc464033450"/>
      <w:bookmarkStart w:id="65" w:name="_Toc464033451"/>
      <w:bookmarkStart w:id="66" w:name="_Toc432687611"/>
      <w:bookmarkStart w:id="67" w:name="_Toc464033452"/>
      <w:bookmarkStart w:id="68" w:name="_Toc464136445"/>
      <w:bookmarkStart w:id="69" w:name="_Toc464139611"/>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4259CB">
        <w:rPr>
          <w:caps w:val="0"/>
        </w:rPr>
        <w:lastRenderedPageBreak/>
        <w:t>DOCUMENT HISTORY</w:t>
      </w:r>
      <w:bookmarkEnd w:id="66"/>
      <w:bookmarkEnd w:id="67"/>
      <w:bookmarkEnd w:id="68"/>
      <w:bookmarkEnd w:id="69"/>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DFE20"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696895C5" w:rsidR="004259CB" w:rsidRPr="00BA0733" w:rsidRDefault="00A631C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r w:rsidR="00A467B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1"/>
      <w:headerReference w:type="default" r:id="rId22"/>
      <w:headerReference w:type="first" r:id="rId23"/>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Marie-Hélène Grillet" w:date="2017-04-20T15:34:00Z" w:initials="MG">
    <w:p w14:paraId="1BF7AD87" w14:textId="0C7F119B" w:rsidR="00EB5131" w:rsidRDefault="00EB5131">
      <w:pPr>
        <w:pStyle w:val="CommentText"/>
      </w:pPr>
      <w:r>
        <w:rPr>
          <w:rStyle w:val="CommentReference"/>
        </w:rPr>
        <w:annotationRef/>
      </w:r>
      <w:r>
        <w:t xml:space="preserve">Based on comment on e-NAV-146 below this seems to be a revised </w:t>
      </w:r>
      <w:r w:rsidR="000F6D40">
        <w:t xml:space="preserve">(new) </w:t>
      </w:r>
      <w:r>
        <w:t>Recommendation and thus it should be given a new number</w:t>
      </w:r>
    </w:p>
  </w:comment>
  <w:comment w:id="26" w:author="Jeffkins, David" w:date="2017-03-29T18:48:00Z" w:initials="JD">
    <w:p w14:paraId="4F0A7170" w14:textId="5A7DE676" w:rsidR="00A467BA" w:rsidRDefault="00A467BA">
      <w:pPr>
        <w:pStyle w:val="CommentText"/>
      </w:pPr>
      <w:r>
        <w:rPr>
          <w:rStyle w:val="CommentReference"/>
        </w:rPr>
        <w:annotationRef/>
      </w:r>
      <w:r>
        <w:t xml:space="preserve">PAP33-10.2 </w:t>
      </w:r>
      <w:r w:rsidR="00217BFF">
        <w:t xml:space="preserve">– recommends to change to Guideline and reference in proposed </w:t>
      </w:r>
      <w:r w:rsidR="002C7BC1">
        <w:t>R0101 on marine radar beacons</w:t>
      </w:r>
    </w:p>
  </w:comment>
  <w:comment w:id="35" w:author="Jeffkins, David" w:date="2017-03-29T19:03:00Z" w:initials="JD">
    <w:p w14:paraId="6635F577" w14:textId="6022BB2D" w:rsidR="002C7BC1" w:rsidRDefault="002C7BC1">
      <w:pPr>
        <w:pStyle w:val="CommentText"/>
      </w:pPr>
      <w:r>
        <w:rPr>
          <w:rStyle w:val="CommentReference"/>
        </w:rPr>
        <w:annotationRef/>
      </w:r>
      <w:r>
        <w:t>PAP33-10.2 – recommends to change to Guideline and not include in Standard</w:t>
      </w:r>
      <w:r w:rsidR="001F6DC0">
        <w:t xml:space="preserve"> 1030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F7AD87" w15:done="0"/>
  <w15:commentEx w15:paraId="4F0A7170" w15:done="0"/>
  <w15:commentEx w15:paraId="6635F5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06556" w14:textId="77777777" w:rsidR="00011915" w:rsidRDefault="00011915" w:rsidP="003274DB">
      <w:r>
        <w:separator/>
      </w:r>
    </w:p>
  </w:endnote>
  <w:endnote w:type="continuationSeparator" w:id="0">
    <w:p w14:paraId="74BF119F" w14:textId="77777777" w:rsidR="00011915" w:rsidRDefault="00011915"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8128D" w14:textId="77777777" w:rsidR="00D765E6" w:rsidRDefault="00D765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681B2" w14:textId="77777777" w:rsidR="00857580" w:rsidRDefault="00857580" w:rsidP="008747E0">
    <w:pPr>
      <w:pStyle w:val="Footer"/>
      <w:rPr>
        <w:lang w:val="en-GB"/>
      </w:rPr>
    </w:pPr>
    <w:r>
      <w:rPr>
        <w:noProof/>
        <w:lang w:val="nl-NL" w:eastAsia="nl-NL"/>
      </w:rPr>
      <mc:AlternateContent>
        <mc:Choice Requires="wps">
          <w:drawing>
            <wp:anchor distT="0" distB="0" distL="114300" distR="114300" simplePos="0" relativeHeight="251653632" behindDoc="0" locked="0" layoutInCell="1" allowOverlap="1" wp14:anchorId="7BFBF8D0" wp14:editId="34AD06B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3B01FDE" id="Connecteur droit 11"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nl-NL" w:eastAsia="nl-NL"/>
      </w:rPr>
      <w:drawing>
        <wp:anchor distT="0" distB="0" distL="114300" distR="114300" simplePos="0" relativeHeight="251651584" behindDoc="1" locked="0" layoutInCell="1" allowOverlap="1" wp14:anchorId="6E073939" wp14:editId="6CE6B8B2">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F01C3" w14:textId="77777777" w:rsidR="00D765E6" w:rsidRDefault="00D765E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D765E6"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1030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Radionavigation Services</w:t>
    </w:r>
    <w:r>
      <w:fldChar w:fldCharType="end"/>
    </w:r>
  </w:p>
  <w:p w14:paraId="19BC5EB7" w14:textId="1902E40F" w:rsidR="00857580" w:rsidRPr="00CB19DB" w:rsidRDefault="00D765E6"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CFDF8" w14:textId="77777777" w:rsidR="00011915" w:rsidRDefault="00011915" w:rsidP="003274DB">
      <w:r>
        <w:separator/>
      </w:r>
    </w:p>
  </w:footnote>
  <w:footnote w:type="continuationSeparator" w:id="0">
    <w:p w14:paraId="0EC0FF34" w14:textId="77777777" w:rsidR="00011915" w:rsidRDefault="00011915"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6C8B5" w14:textId="2BFEC8DE" w:rsidR="00763409" w:rsidRDefault="00D765E6">
    <w:pPr>
      <w:pStyle w:val="Header"/>
    </w:pPr>
    <w:r>
      <w:rPr>
        <w:noProof/>
      </w:rPr>
      <w:pict w14:anchorId="68E172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7" o:spid="_x0000_s2052"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C7245" w14:textId="223C36BF" w:rsidR="00A01FC7" w:rsidRDefault="00D765E6">
    <w:pPr>
      <w:pStyle w:val="Header"/>
    </w:pPr>
    <w:r>
      <w:rPr>
        <w:noProof/>
      </w:rPr>
      <w:pict w14:anchorId="6CC024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2" o:spid="_x0000_s2057"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07BF4" w14:textId="4CE627B8" w:rsidR="00D765E6" w:rsidRPr="00AD602E" w:rsidRDefault="00D765E6" w:rsidP="00D765E6">
    <w:pPr>
      <w:pStyle w:val="Header"/>
      <w:jc w:val="right"/>
      <w:rPr>
        <w:sz w:val="22"/>
        <w:lang w:val="en-GB"/>
      </w:rPr>
    </w:pPr>
    <w:r>
      <w:rPr>
        <w:sz w:val="22"/>
        <w:lang w:val="en-GB"/>
      </w:rPr>
      <w:t>ARM6-3.1.3 (</w:t>
    </w:r>
    <w:r w:rsidR="00AD602E">
      <w:rPr>
        <w:sz w:val="22"/>
        <w:lang w:val="en-GB"/>
      </w:rPr>
      <w:t>PAP33-</w:t>
    </w:r>
    <w:r>
      <w:rPr>
        <w:noProof/>
        <w:sz w:val="16"/>
        <w:szCs w:val="16"/>
      </w:rPr>
      <w:pict w14:anchorId="4585DC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8" o:spid="_x0000_s2053" type="#_x0000_t136" style="position:absolute;left:0;text-align:left;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57709C">
      <w:rPr>
        <w:noProof/>
        <w:sz w:val="16"/>
        <w:szCs w:val="16"/>
        <w:lang w:val="nl-NL" w:eastAsia="nl-NL"/>
      </w:rPr>
      <w:drawing>
        <wp:anchor distT="0" distB="0" distL="114300" distR="114300" simplePos="0" relativeHeight="251656192" behindDoc="1" locked="0" layoutInCell="1" allowOverlap="1" wp14:anchorId="03207D6E" wp14:editId="1C00C4B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D602E">
      <w:rPr>
        <w:sz w:val="22"/>
        <w:lang w:val="en-GB"/>
      </w:rPr>
      <w:t>18.3</w:t>
    </w:r>
    <w:r>
      <w:rPr>
        <w:sz w:val="22"/>
        <w:lang w:val="en-GB"/>
      </w:rPr>
      <w:t>)</w:t>
    </w:r>
    <w:bookmarkStart w:id="0" w:name="_GoBack"/>
    <w:bookmarkEnd w:id="0"/>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nl-NL" w:eastAsia="nl-NL"/>
      </w:rPr>
      <w:drawing>
        <wp:anchor distT="0" distB="0" distL="114300" distR="114300" simplePos="0" relativeHeight="251661312" behindDoc="1" locked="0" layoutInCell="1" allowOverlap="1" wp14:anchorId="7FD87733" wp14:editId="6487469E">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59EB4" w14:textId="4041A19F" w:rsidR="00763409" w:rsidRDefault="00D765E6">
    <w:pPr>
      <w:pStyle w:val="Header"/>
    </w:pPr>
    <w:r>
      <w:rPr>
        <w:noProof/>
      </w:rPr>
      <w:pict w14:anchorId="5017E8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6" o:spid="_x0000_s2051" type="#_x0000_t136" style="position:absolute;margin-left:0;margin-top:0;width:412.1pt;height:247.2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C81F9" w14:textId="59F56DD0" w:rsidR="00AD602E" w:rsidRPr="00AD602E" w:rsidRDefault="00AD602E" w:rsidP="00AD602E">
    <w:pPr>
      <w:pStyle w:val="Header"/>
      <w:jc w:val="right"/>
      <w:rPr>
        <w:sz w:val="22"/>
        <w:lang w:val="en-GB"/>
      </w:rPr>
    </w:pPr>
    <w:r>
      <w:rPr>
        <w:sz w:val="22"/>
        <w:lang w:val="en-GB"/>
      </w:rPr>
      <w:t>PAP33-</w:t>
    </w:r>
    <w:r w:rsidR="00D765E6">
      <w:rPr>
        <w:noProof/>
        <w:sz w:val="16"/>
        <w:szCs w:val="16"/>
      </w:rPr>
      <w:pict w14:anchorId="2EA96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412.1pt;height:247.2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sz w:val="22"/>
        <w:lang w:val="en-GB"/>
      </w:rPr>
      <w:t>18.3</w:t>
    </w:r>
  </w:p>
  <w:p w14:paraId="01E2F757" w14:textId="77777777" w:rsidR="00AD602E" w:rsidRPr="00ED2A8D" w:rsidRDefault="00AD602E" w:rsidP="008747E0">
    <w:pPr>
      <w:pStyle w:val="Header"/>
      <w:rPr>
        <w:lang w:val="en-GB"/>
      </w:rPr>
    </w:pPr>
  </w:p>
  <w:p w14:paraId="7B377BD3" w14:textId="77777777" w:rsidR="00AD602E" w:rsidRDefault="00AD602E" w:rsidP="008747E0">
    <w:pPr>
      <w:pStyle w:val="Header"/>
      <w:rPr>
        <w:lang w:val="en-GB"/>
      </w:rPr>
    </w:pPr>
  </w:p>
  <w:p w14:paraId="1A9648D7" w14:textId="77777777"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7D8AA" w14:textId="1AE04B91" w:rsidR="00A01FC7" w:rsidRDefault="00D765E6">
    <w:pPr>
      <w:pStyle w:val="Header"/>
    </w:pPr>
    <w:r>
      <w:rPr>
        <w:noProof/>
      </w:rPr>
      <w:pict w14:anchorId="4E1F1E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0" o:spid="_x0000_s2055"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824D" w14:textId="78551D12" w:rsidR="00857580" w:rsidRPr="00ED2A8D" w:rsidRDefault="00D765E6" w:rsidP="008747E0">
    <w:pPr>
      <w:pStyle w:val="Header"/>
      <w:rPr>
        <w:lang w:val="en-GB"/>
      </w:rPr>
    </w:pPr>
    <w:r>
      <w:rPr>
        <w:noProof/>
      </w:rPr>
      <w:pict w14:anchorId="244B50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1" o:spid="_x0000_s2056"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63360" behindDoc="1" locked="0" layoutInCell="1" allowOverlap="1" wp14:anchorId="622BD764" wp14:editId="6A48834A">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21593" w14:textId="07937477" w:rsidR="00A01FC7" w:rsidRPr="00ED2A8D" w:rsidRDefault="00EB5131" w:rsidP="00A01FC7">
    <w:pPr>
      <w:pStyle w:val="Header"/>
      <w:jc w:val="right"/>
      <w:rPr>
        <w:lang w:val="en-GB"/>
      </w:rPr>
    </w:pPr>
    <w:r>
      <w:rPr>
        <w:sz w:val="22"/>
        <w:lang w:val="en-GB"/>
      </w:rPr>
      <w:t>PAP33-18</w:t>
    </w:r>
    <w:r w:rsidR="00A01FC7">
      <w:rPr>
        <w:sz w:val="22"/>
        <w:lang w:val="en-GB"/>
      </w:rPr>
      <w:t>.3</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7483F" w14:textId="4CD40F12" w:rsidR="00A01FC7" w:rsidRDefault="00D765E6">
    <w:pPr>
      <w:pStyle w:val="Header"/>
    </w:pPr>
    <w:r>
      <w:rPr>
        <w:noProof/>
      </w:rPr>
      <w:pict w14:anchorId="6B5592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9" o:spid="_x0000_s2054"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78170" w14:textId="4B77C25F" w:rsidR="00A01FC7" w:rsidRDefault="00D765E6">
    <w:pPr>
      <w:pStyle w:val="Header"/>
    </w:pPr>
    <w:r>
      <w:rPr>
        <w:noProof/>
      </w:rPr>
      <w:pict w14:anchorId="280B10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3" o:spid="_x0000_s2058"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1943A" w14:textId="4DF294E4" w:rsidR="00857580" w:rsidRPr="00AB623C" w:rsidRDefault="00EB5131" w:rsidP="00A01FC7">
    <w:pPr>
      <w:pStyle w:val="Header"/>
      <w:jc w:val="right"/>
      <w:rPr>
        <w:lang w:val="en-GB"/>
      </w:rPr>
    </w:pPr>
    <w:r>
      <w:rPr>
        <w:sz w:val="22"/>
        <w:lang w:val="en-GB"/>
      </w:rPr>
      <w:t>PAP33-8</w:t>
    </w:r>
    <w:r w:rsidR="00A01FC7">
      <w:rPr>
        <w:sz w:val="22"/>
        <w:lang w:val="en-GB"/>
      </w:rPr>
      <w:t>.3</w:t>
    </w:r>
    <w:r w:rsidR="00D765E6">
      <w:rPr>
        <w:noProof/>
      </w:rPr>
      <w:pict w14:anchorId="790291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4" o:spid="_x0000_s2059"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64384" behindDoc="1" locked="0" layoutInCell="1" allowOverlap="1" wp14:anchorId="7265616B" wp14:editId="7AE1AD2F">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e-Hélène Grillet">
    <w15:presenceInfo w15:providerId="AD" w15:userId="S-1-5-21-3036158373-452142988-3095193817-1128"/>
  </w15:person>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1915"/>
    <w:rsid w:val="000251C5"/>
    <w:rsid w:val="0005546F"/>
    <w:rsid w:val="00085375"/>
    <w:rsid w:val="000B230E"/>
    <w:rsid w:val="000C711B"/>
    <w:rsid w:val="000D4C23"/>
    <w:rsid w:val="000E5B53"/>
    <w:rsid w:val="000F6D40"/>
    <w:rsid w:val="001349DB"/>
    <w:rsid w:val="0013794D"/>
    <w:rsid w:val="00192FEB"/>
    <w:rsid w:val="001B1140"/>
    <w:rsid w:val="001C3592"/>
    <w:rsid w:val="001E416D"/>
    <w:rsid w:val="001F6DC0"/>
    <w:rsid w:val="00203BE2"/>
    <w:rsid w:val="00217BFF"/>
    <w:rsid w:val="002204DA"/>
    <w:rsid w:val="00263ADD"/>
    <w:rsid w:val="00265AFA"/>
    <w:rsid w:val="0027175D"/>
    <w:rsid w:val="002B0E7D"/>
    <w:rsid w:val="002B6679"/>
    <w:rsid w:val="002C7BC1"/>
    <w:rsid w:val="00304DD8"/>
    <w:rsid w:val="003236FC"/>
    <w:rsid w:val="003274DB"/>
    <w:rsid w:val="003476DC"/>
    <w:rsid w:val="003500F2"/>
    <w:rsid w:val="00366678"/>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505B"/>
    <w:rsid w:val="00526234"/>
    <w:rsid w:val="0053726A"/>
    <w:rsid w:val="00553495"/>
    <w:rsid w:val="00556CF6"/>
    <w:rsid w:val="0057709C"/>
    <w:rsid w:val="005A181A"/>
    <w:rsid w:val="005F7A94"/>
    <w:rsid w:val="00605474"/>
    <w:rsid w:val="006127AC"/>
    <w:rsid w:val="00666061"/>
    <w:rsid w:val="00680F99"/>
    <w:rsid w:val="006A4DA5"/>
    <w:rsid w:val="006C24DF"/>
    <w:rsid w:val="006C748C"/>
    <w:rsid w:val="0070191F"/>
    <w:rsid w:val="00733698"/>
    <w:rsid w:val="00757F9E"/>
    <w:rsid w:val="00763409"/>
    <w:rsid w:val="0076457B"/>
    <w:rsid w:val="00767B26"/>
    <w:rsid w:val="007715E8"/>
    <w:rsid w:val="00782745"/>
    <w:rsid w:val="0078486B"/>
    <w:rsid w:val="007A446A"/>
    <w:rsid w:val="007D2107"/>
    <w:rsid w:val="007D3221"/>
    <w:rsid w:val="007E30DF"/>
    <w:rsid w:val="007E46D5"/>
    <w:rsid w:val="007F6374"/>
    <w:rsid w:val="007F7033"/>
    <w:rsid w:val="007F7544"/>
    <w:rsid w:val="008431CF"/>
    <w:rsid w:val="00857580"/>
    <w:rsid w:val="008747E0"/>
    <w:rsid w:val="009210BC"/>
    <w:rsid w:val="009330EF"/>
    <w:rsid w:val="009414E6"/>
    <w:rsid w:val="00971591"/>
    <w:rsid w:val="00974E99"/>
    <w:rsid w:val="009764FA"/>
    <w:rsid w:val="00980192"/>
    <w:rsid w:val="009B3B25"/>
    <w:rsid w:val="009C0F12"/>
    <w:rsid w:val="009C79E3"/>
    <w:rsid w:val="009E16EC"/>
    <w:rsid w:val="009E79A1"/>
    <w:rsid w:val="00A01FC7"/>
    <w:rsid w:val="00A07236"/>
    <w:rsid w:val="00A1776A"/>
    <w:rsid w:val="00A467BA"/>
    <w:rsid w:val="00A549B3"/>
    <w:rsid w:val="00A631CD"/>
    <w:rsid w:val="00AA70F6"/>
    <w:rsid w:val="00AB326D"/>
    <w:rsid w:val="00AB623C"/>
    <w:rsid w:val="00AB73F4"/>
    <w:rsid w:val="00AC33A2"/>
    <w:rsid w:val="00AD1795"/>
    <w:rsid w:val="00AD602E"/>
    <w:rsid w:val="00AF159C"/>
    <w:rsid w:val="00B02CC1"/>
    <w:rsid w:val="00B12B0A"/>
    <w:rsid w:val="00B31A41"/>
    <w:rsid w:val="00B67422"/>
    <w:rsid w:val="00B97082"/>
    <w:rsid w:val="00BA0733"/>
    <w:rsid w:val="00BE0675"/>
    <w:rsid w:val="00C065BD"/>
    <w:rsid w:val="00C216F9"/>
    <w:rsid w:val="00C23906"/>
    <w:rsid w:val="00C81162"/>
    <w:rsid w:val="00C83666"/>
    <w:rsid w:val="00C90D33"/>
    <w:rsid w:val="00CB19DB"/>
    <w:rsid w:val="00CD0934"/>
    <w:rsid w:val="00CD36BB"/>
    <w:rsid w:val="00CE5E46"/>
    <w:rsid w:val="00CF477F"/>
    <w:rsid w:val="00CF569D"/>
    <w:rsid w:val="00D2257E"/>
    <w:rsid w:val="00D6195E"/>
    <w:rsid w:val="00D67D51"/>
    <w:rsid w:val="00D70AFE"/>
    <w:rsid w:val="00D74AE1"/>
    <w:rsid w:val="00D75F79"/>
    <w:rsid w:val="00D765E6"/>
    <w:rsid w:val="00DC7E67"/>
    <w:rsid w:val="00DD6C18"/>
    <w:rsid w:val="00DF1669"/>
    <w:rsid w:val="00E234E9"/>
    <w:rsid w:val="00E24B2E"/>
    <w:rsid w:val="00E270C5"/>
    <w:rsid w:val="00E317B0"/>
    <w:rsid w:val="00E67984"/>
    <w:rsid w:val="00E72A28"/>
    <w:rsid w:val="00E72B8D"/>
    <w:rsid w:val="00E77E7B"/>
    <w:rsid w:val="00E80A6F"/>
    <w:rsid w:val="00EB5131"/>
    <w:rsid w:val="00EB6F3C"/>
    <w:rsid w:val="00EC14DD"/>
    <w:rsid w:val="00EC4025"/>
    <w:rsid w:val="00ED2A8D"/>
    <w:rsid w:val="00EE129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8D4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3A8EE-E595-415F-AC2E-55472E61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879</Words>
  <Characters>4839</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Wim</cp:lastModifiedBy>
  <cp:revision>9</cp:revision>
  <dcterms:created xsi:type="dcterms:W3CDTF">2017-04-20T13:25:00Z</dcterms:created>
  <dcterms:modified xsi:type="dcterms:W3CDTF">2017-04-20T15:28:00Z</dcterms:modified>
</cp:coreProperties>
</file>