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A33A3C">
        <w:rPr>
          <w:rFonts w:ascii="Calibri" w:hAnsi="Calibri"/>
        </w:rPr>
        <w:t>ARM</w:t>
      </w:r>
      <w:r w:rsidR="001021B0">
        <w:rPr>
          <w:rFonts w:ascii="Calibri" w:hAnsi="Calibri"/>
        </w:rPr>
        <w:t>6</w:t>
      </w:r>
      <w:r w:rsidR="005B7D45">
        <w:rPr>
          <w:rFonts w:ascii="Calibri" w:hAnsi="Calibri"/>
        </w:rPr>
        <w:t>-3.2.10</w:t>
      </w:r>
      <w:bookmarkStart w:id="0" w:name="_GoBack"/>
      <w:bookmarkEnd w:id="0"/>
    </w:p>
    <w:p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:rsidR="0080294B" w:rsidRPr="007A395D" w:rsidRDefault="00DC0A5F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proofErr w:type="gramStart"/>
      <w:r>
        <w:rPr>
          <w:rFonts w:ascii="Calibri" w:hAnsi="Calibri" w:cs="Arial"/>
          <w:b/>
          <w:sz w:val="24"/>
          <w:szCs w:val="24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ARM</w:t>
      </w:r>
      <w:proofErr w:type="gramEnd"/>
      <w:r w:rsidR="00037DF4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ENG</w:t>
      </w:r>
      <w:r w:rsidR="0080294B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PAP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b/>
          <w:sz w:val="24"/>
          <w:szCs w:val="24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Input</w:t>
      </w:r>
    </w:p>
    <w:p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/>
        </w:rPr>
      </w:pPr>
      <w:proofErr w:type="gramStart"/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ENAV</w:t>
      </w:r>
      <w:proofErr w:type="gramEnd"/>
      <w:r w:rsidRPr="007A395D">
        <w:rPr>
          <w:rFonts w:ascii="Calibri" w:hAnsi="Calibri" w:cs="Arial"/>
          <w:b/>
          <w:sz w:val="24"/>
          <w:szCs w:val="24"/>
        </w:rPr>
        <w:tab/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Information</w:t>
      </w:r>
    </w:p>
    <w:p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rPr>
          <w:rFonts w:ascii="Calibri" w:hAnsi="Calibri"/>
        </w:rPr>
        <w:tab/>
      </w:r>
      <w:r w:rsidR="00EC7E8F">
        <w:rPr>
          <w:rFonts w:ascii="Calibri" w:hAnsi="Calibri"/>
        </w:rPr>
        <w:tab/>
      </w:r>
      <w:r w:rsidR="00EC7E8F">
        <w:rPr>
          <w:rFonts w:ascii="Calibri" w:hAnsi="Calibri"/>
        </w:rPr>
        <w:tab/>
      </w:r>
    </w:p>
    <w:p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Pr="007A395D">
        <w:rPr>
          <w:rFonts w:ascii="Calibri" w:hAnsi="Calibri"/>
        </w:rPr>
        <w:t>…………………………………</w:t>
      </w:r>
    </w:p>
    <w:p w:rsidR="0080294B" w:rsidRDefault="00362CD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EC7E8F">
        <w:rPr>
          <w:rFonts w:ascii="Calibri" w:hAnsi="Calibri"/>
        </w:rPr>
        <w:t xml:space="preserve">NCA, </w:t>
      </w:r>
      <w:proofErr w:type="spellStart"/>
      <w:r w:rsidR="00EC7E8F">
        <w:rPr>
          <w:rFonts w:ascii="Calibri" w:hAnsi="Calibri"/>
        </w:rPr>
        <w:t>Guttorm</w:t>
      </w:r>
      <w:proofErr w:type="spellEnd"/>
      <w:r w:rsidR="00EC7E8F">
        <w:rPr>
          <w:rFonts w:ascii="Calibri" w:hAnsi="Calibri"/>
        </w:rPr>
        <w:t xml:space="preserve"> </w:t>
      </w:r>
      <w:proofErr w:type="spellStart"/>
      <w:r w:rsidR="00EC7E8F">
        <w:rPr>
          <w:rFonts w:ascii="Calibri" w:hAnsi="Calibri"/>
        </w:rPr>
        <w:t>Tomren</w:t>
      </w:r>
      <w:proofErr w:type="spellEnd"/>
    </w:p>
    <w:p w:rsidR="00AB7F0A" w:rsidRPr="007A395D" w:rsidRDefault="00AB7F0A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:rsidR="00A446C9" w:rsidRPr="00605E43" w:rsidRDefault="00946573" w:rsidP="00A446C9">
      <w:pPr>
        <w:pStyle w:val="Title"/>
        <w:rPr>
          <w:rFonts w:ascii="Calibri" w:hAnsi="Calibri"/>
          <w:color w:val="0070C0"/>
        </w:rPr>
      </w:pPr>
      <w:r>
        <w:rPr>
          <w:rFonts w:ascii="Calibri" w:hAnsi="Calibri"/>
          <w:color w:val="0070C0"/>
        </w:rPr>
        <w:t>Divergence in guidance to sector lights</w:t>
      </w:r>
    </w:p>
    <w:p w:rsidR="00A446C9" w:rsidRPr="00605E43" w:rsidRDefault="00A446C9" w:rsidP="00605E43">
      <w:pPr>
        <w:pStyle w:val="Heading1"/>
      </w:pPr>
      <w:r w:rsidRPr="00605E43">
        <w:t>Summary</w:t>
      </w:r>
    </w:p>
    <w:p w:rsidR="00BD4E6F" w:rsidRDefault="00DC0A5F" w:rsidP="00B56BDF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There is </w:t>
      </w:r>
      <w:r w:rsidR="00EC7E8F">
        <w:rPr>
          <w:rFonts w:ascii="Calibri" w:hAnsi="Calibri"/>
        </w:rPr>
        <w:t xml:space="preserve">an </w:t>
      </w:r>
      <w:r>
        <w:rPr>
          <w:rFonts w:ascii="Calibri" w:hAnsi="Calibri"/>
        </w:rPr>
        <w:t xml:space="preserve">inconsistent guidance on sector lights I IALA Guideline 1041 Ed.2 versus Ed.3. This matter should be discussed by the ARM Committee and the Guideline updated accordingly. </w:t>
      </w:r>
    </w:p>
    <w:p w:rsidR="000A4148" w:rsidRPr="007A395D" w:rsidRDefault="000A4148" w:rsidP="00B56BDF">
      <w:pPr>
        <w:pStyle w:val="BodyText"/>
        <w:rPr>
          <w:rFonts w:ascii="Calibri" w:hAnsi="Calibri"/>
        </w:rPr>
      </w:pPr>
    </w:p>
    <w:p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:rsidR="00E55927" w:rsidRDefault="00DC0A5F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To let the ARM Committee discuss issue at hand and align guideline according to decision made by the ARM Committee. </w:t>
      </w:r>
    </w:p>
    <w:p w:rsidR="000A4148" w:rsidRDefault="000A4148" w:rsidP="00E55927">
      <w:pPr>
        <w:pStyle w:val="BodyText"/>
        <w:rPr>
          <w:rFonts w:ascii="Calibri" w:hAnsi="Calibri"/>
        </w:rPr>
      </w:pPr>
    </w:p>
    <w:p w:rsidR="000A4148" w:rsidRPr="007A395D" w:rsidRDefault="000A4148" w:rsidP="00E55927">
      <w:pPr>
        <w:pStyle w:val="BodyText"/>
        <w:rPr>
          <w:rFonts w:ascii="Calibri" w:hAnsi="Calibri"/>
        </w:rPr>
      </w:pPr>
    </w:p>
    <w:p w:rsidR="00B56BDF" w:rsidRPr="007A395D" w:rsidRDefault="00B56BDF" w:rsidP="00605E43">
      <w:pPr>
        <w:pStyle w:val="Heading2"/>
      </w:pPr>
      <w:r w:rsidRPr="007A395D">
        <w:t>Related documents</w:t>
      </w:r>
    </w:p>
    <w:p w:rsidR="00E55927" w:rsidRPr="007A395D" w:rsidRDefault="00DC0A5F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>IALA Guideline 1041 Ed.3</w:t>
      </w:r>
      <w:r w:rsidR="000A4148">
        <w:rPr>
          <w:rFonts w:ascii="Calibri" w:hAnsi="Calibri"/>
        </w:rPr>
        <w:t xml:space="preserve"> Sector Lights</w:t>
      </w:r>
    </w:p>
    <w:p w:rsidR="00A446C9" w:rsidRPr="007A395D" w:rsidRDefault="00A446C9" w:rsidP="00605E43">
      <w:pPr>
        <w:pStyle w:val="Heading1"/>
      </w:pPr>
      <w:r w:rsidRPr="007A395D">
        <w:t>Background</w:t>
      </w:r>
    </w:p>
    <w:p w:rsidR="00946573" w:rsidRDefault="00946573" w:rsidP="00A446C9">
      <w:pPr>
        <w:pStyle w:val="BodyText"/>
        <w:rPr>
          <w:rFonts w:ascii="Calibri" w:hAnsi="Calibri"/>
        </w:rPr>
      </w:pPr>
      <w:r>
        <w:rPr>
          <w:rFonts w:ascii="Calibri" w:hAnsi="Calibri"/>
        </w:rPr>
        <w:t>After reading the Guideline 1041</w:t>
      </w:r>
      <w:r w:rsidR="000A4148">
        <w:rPr>
          <w:rFonts w:ascii="Calibri" w:hAnsi="Calibri"/>
        </w:rPr>
        <w:t xml:space="preserve"> Ed.2 and Guideline 1041 Ed.3,</w:t>
      </w:r>
      <w:r>
        <w:rPr>
          <w:rFonts w:ascii="Calibri" w:hAnsi="Calibri"/>
        </w:rPr>
        <w:t xml:space="preserve"> follow</w:t>
      </w:r>
      <w:r w:rsidR="007F6E6A">
        <w:rPr>
          <w:rFonts w:ascii="Calibri" w:hAnsi="Calibri"/>
        </w:rPr>
        <w:t>ing conflicting issues have been discovered and needs to be resolved.</w:t>
      </w:r>
    </w:p>
    <w:p w:rsidR="007F6E6A" w:rsidRDefault="007F6E6A" w:rsidP="00A446C9">
      <w:pPr>
        <w:pStyle w:val="BodyText"/>
        <w:rPr>
          <w:rFonts w:ascii="Calibri" w:hAnsi="Calibri"/>
        </w:rPr>
      </w:pPr>
    </w:p>
    <w:p w:rsidR="00B0482E" w:rsidRDefault="00B0482E" w:rsidP="00A446C9">
      <w:pPr>
        <w:pStyle w:val="BodyText"/>
        <w:rPr>
          <w:rFonts w:ascii="Calibri" w:hAnsi="Calibri"/>
        </w:rPr>
      </w:pPr>
    </w:p>
    <w:p w:rsidR="00B0482E" w:rsidRDefault="00B0482E" w:rsidP="00A446C9">
      <w:pPr>
        <w:pStyle w:val="BodyText"/>
        <w:rPr>
          <w:rFonts w:ascii="Calibri" w:hAnsi="Calibri"/>
        </w:rPr>
      </w:pPr>
    </w:p>
    <w:p w:rsidR="00B0482E" w:rsidRDefault="00B0482E" w:rsidP="00A446C9">
      <w:pPr>
        <w:pStyle w:val="BodyText"/>
        <w:rPr>
          <w:rFonts w:ascii="Calibri" w:hAnsi="Calibri"/>
        </w:rPr>
      </w:pPr>
    </w:p>
    <w:p w:rsidR="00B0482E" w:rsidRDefault="00B0482E" w:rsidP="00A446C9">
      <w:pPr>
        <w:pStyle w:val="BodyText"/>
        <w:rPr>
          <w:rFonts w:ascii="Calibri" w:hAnsi="Calibri"/>
        </w:rPr>
      </w:pPr>
    </w:p>
    <w:p w:rsidR="00B0482E" w:rsidRDefault="00B0482E" w:rsidP="00A446C9">
      <w:pPr>
        <w:pStyle w:val="BodyText"/>
        <w:rPr>
          <w:rFonts w:ascii="Calibri" w:hAnsi="Calibri"/>
        </w:rPr>
      </w:pPr>
    </w:p>
    <w:p w:rsidR="00AB7F0A" w:rsidRDefault="00AB7F0A" w:rsidP="00A446C9">
      <w:pPr>
        <w:pStyle w:val="BodyText"/>
        <w:rPr>
          <w:rFonts w:ascii="Calibri" w:hAnsi="Calibri"/>
        </w:rPr>
      </w:pPr>
    </w:p>
    <w:p w:rsidR="00B0482E" w:rsidRDefault="00B0482E" w:rsidP="00A446C9">
      <w:pPr>
        <w:pStyle w:val="BodyText"/>
        <w:rPr>
          <w:rFonts w:ascii="Calibri" w:hAnsi="Calibri"/>
        </w:rPr>
      </w:pPr>
    </w:p>
    <w:p w:rsidR="000A4148" w:rsidRDefault="000A4148" w:rsidP="00A446C9">
      <w:pPr>
        <w:pStyle w:val="BodyText"/>
        <w:rPr>
          <w:rFonts w:ascii="Calibri" w:hAnsi="Calibri"/>
        </w:rPr>
      </w:pPr>
    </w:p>
    <w:p w:rsidR="00AB7F0A" w:rsidRDefault="00AB7F0A" w:rsidP="00A446C9">
      <w:pPr>
        <w:pStyle w:val="BodyText"/>
        <w:rPr>
          <w:rFonts w:ascii="Calibri" w:hAnsi="Calibri"/>
        </w:rPr>
      </w:pPr>
    </w:p>
    <w:p w:rsidR="007F6E6A" w:rsidRDefault="007F6E6A" w:rsidP="00A446C9">
      <w:pPr>
        <w:pStyle w:val="BodyText"/>
        <w:rPr>
          <w:rFonts w:ascii="Calibri" w:hAnsi="Calibri"/>
        </w:rPr>
      </w:pPr>
      <w:r>
        <w:rPr>
          <w:rFonts w:ascii="Calibri" w:hAnsi="Calibri"/>
        </w:rPr>
        <w:t>Quote:</w:t>
      </w:r>
    </w:p>
    <w:p w:rsidR="00946573" w:rsidRDefault="00946573" w:rsidP="00A446C9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Recent guiding on method for </w:t>
      </w:r>
      <w:r w:rsidR="000A4148">
        <w:rPr>
          <w:rFonts w:ascii="Calibri" w:hAnsi="Calibri"/>
        </w:rPr>
        <w:t>determine</w:t>
      </w:r>
      <w:r>
        <w:rPr>
          <w:rFonts w:ascii="Calibri" w:hAnsi="Calibri"/>
        </w:rPr>
        <w:t xml:space="preserve"> sector limit, 1041 Ed.2 para 5.4.4;</w:t>
      </w:r>
    </w:p>
    <w:p w:rsidR="00946573" w:rsidRDefault="00946573" w:rsidP="00A446C9">
      <w:pPr>
        <w:pStyle w:val="BodyText"/>
        <w:rPr>
          <w:rFonts w:ascii="Calibri" w:hAnsi="Calibri"/>
        </w:rPr>
      </w:pPr>
      <w:r>
        <w:rPr>
          <w:noProof/>
          <w:lang w:val="nl-NL" w:eastAsia="nl-NL"/>
        </w:rPr>
        <w:drawing>
          <wp:inline distT="0" distB="0" distL="0" distR="0" wp14:anchorId="7C2E6B8C" wp14:editId="6B0A77F3">
            <wp:extent cx="6210935" cy="1116330"/>
            <wp:effectExtent l="0" t="0" r="0" b="7620"/>
            <wp:docPr id="4" name="Bild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210935" cy="111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6573" w:rsidRDefault="00946573" w:rsidP="00A446C9">
      <w:pPr>
        <w:pStyle w:val="BodyText"/>
        <w:rPr>
          <w:rFonts w:ascii="Calibri" w:hAnsi="Calibri"/>
        </w:rPr>
      </w:pPr>
    </w:p>
    <w:p w:rsidR="00946573" w:rsidRDefault="00B0482E" w:rsidP="00A446C9">
      <w:pPr>
        <w:pStyle w:val="BodyText"/>
        <w:rPr>
          <w:rFonts w:ascii="Calibri" w:hAnsi="Calibri"/>
        </w:rPr>
      </w:pPr>
      <w:r>
        <w:rPr>
          <w:rFonts w:ascii="Calibri" w:hAnsi="Calibri"/>
        </w:rPr>
        <w:t>New guideline 1041 Ed.3 12.</w:t>
      </w:r>
      <w:r w:rsidR="00946573">
        <w:rPr>
          <w:rFonts w:ascii="Calibri" w:hAnsi="Calibri"/>
        </w:rPr>
        <w:t>7 and 14.5;</w:t>
      </w:r>
    </w:p>
    <w:p w:rsidR="00946573" w:rsidRDefault="00946573" w:rsidP="00A446C9">
      <w:pPr>
        <w:pStyle w:val="BodyText"/>
        <w:rPr>
          <w:rFonts w:ascii="Calibri" w:hAnsi="Calibri"/>
        </w:rPr>
      </w:pPr>
      <w:r>
        <w:rPr>
          <w:noProof/>
          <w:lang w:val="nl-NL" w:eastAsia="nl-NL"/>
        </w:rPr>
        <w:drawing>
          <wp:inline distT="0" distB="0" distL="0" distR="0" wp14:anchorId="2B3794AE" wp14:editId="600B20E8">
            <wp:extent cx="6210935" cy="3717925"/>
            <wp:effectExtent l="0" t="0" r="0" b="0"/>
            <wp:docPr id="5" name="Bild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210935" cy="3717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482E" w:rsidRDefault="00B0482E" w:rsidP="00A446C9">
      <w:pPr>
        <w:pStyle w:val="BodyText"/>
        <w:rPr>
          <w:rFonts w:ascii="Calibri" w:hAnsi="Calibri"/>
        </w:rPr>
      </w:pPr>
    </w:p>
    <w:p w:rsidR="00946573" w:rsidRDefault="00946573" w:rsidP="00A446C9">
      <w:pPr>
        <w:pStyle w:val="BodyText"/>
        <w:rPr>
          <w:rFonts w:ascii="Calibri" w:hAnsi="Calibri"/>
        </w:rPr>
      </w:pPr>
      <w:r>
        <w:rPr>
          <w:noProof/>
          <w:lang w:val="nl-NL" w:eastAsia="nl-NL"/>
        </w:rPr>
        <w:drawing>
          <wp:inline distT="0" distB="0" distL="0" distR="0" wp14:anchorId="05779344" wp14:editId="1AE93F01">
            <wp:extent cx="6210935" cy="2886710"/>
            <wp:effectExtent l="0" t="0" r="0" b="8890"/>
            <wp:docPr id="6" name="Bild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210935" cy="2886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6573" w:rsidRDefault="000A4148" w:rsidP="00A446C9">
      <w:pPr>
        <w:pStyle w:val="BodyText"/>
        <w:rPr>
          <w:rFonts w:ascii="Calibri" w:hAnsi="Calibri"/>
        </w:rPr>
      </w:pPr>
      <w:r>
        <w:rPr>
          <w:rFonts w:ascii="Calibri" w:hAnsi="Calibri"/>
        </w:rPr>
        <w:lastRenderedPageBreak/>
        <w:t>Unquote:</w:t>
      </w:r>
    </w:p>
    <w:p w:rsidR="00946573" w:rsidRDefault="00946573" w:rsidP="00A446C9">
      <w:pPr>
        <w:pStyle w:val="BodyText"/>
        <w:rPr>
          <w:rFonts w:ascii="Calibri" w:hAnsi="Calibri"/>
        </w:rPr>
      </w:pPr>
    </w:p>
    <w:p w:rsidR="00946573" w:rsidRDefault="00946573" w:rsidP="00A446C9">
      <w:pPr>
        <w:pStyle w:val="BodyText"/>
        <w:rPr>
          <w:rFonts w:ascii="Calibri" w:hAnsi="Calibri"/>
        </w:rPr>
      </w:pPr>
    </w:p>
    <w:p w:rsidR="00946573" w:rsidRDefault="00946573" w:rsidP="00A446C9">
      <w:pPr>
        <w:pStyle w:val="BodyText"/>
        <w:rPr>
          <w:rFonts w:ascii="Calibri" w:hAnsi="Calibri"/>
        </w:rPr>
      </w:pPr>
    </w:p>
    <w:p w:rsidR="00A446C9" w:rsidRPr="007A395D" w:rsidRDefault="00A446C9" w:rsidP="00605E43">
      <w:pPr>
        <w:pStyle w:val="Heading1"/>
      </w:pPr>
      <w:r w:rsidRPr="007A395D">
        <w:t>Discussion</w:t>
      </w:r>
    </w:p>
    <w:p w:rsidR="000A4148" w:rsidRDefault="00946573" w:rsidP="00A446C9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There is a shift in principles for determining </w:t>
      </w:r>
      <w:r w:rsidR="00DC0A5F">
        <w:rPr>
          <w:rFonts w:ascii="Calibri" w:hAnsi="Calibri"/>
        </w:rPr>
        <w:t xml:space="preserve">sector boundary bearing (sector limit) </w:t>
      </w:r>
      <w:r>
        <w:rPr>
          <w:rFonts w:ascii="Calibri" w:hAnsi="Calibri"/>
        </w:rPr>
        <w:t xml:space="preserve">from Ed.2 to Ed.3, is this intentional? Para 5.4.4 in Ed.2 is considered to give a safe and proper definition/verification of the sector limit(s). Sector limit red/green </w:t>
      </w:r>
      <w:proofErr w:type="gramStart"/>
      <w:r>
        <w:rPr>
          <w:rFonts w:ascii="Calibri" w:hAnsi="Calibri"/>
        </w:rPr>
        <w:t>are</w:t>
      </w:r>
      <w:proofErr w:type="gramEnd"/>
      <w:r>
        <w:rPr>
          <w:rFonts w:ascii="Calibri" w:hAnsi="Calibri"/>
        </w:rPr>
        <w:t xml:space="preserve"> define</w:t>
      </w:r>
      <w:r w:rsidR="000A4148">
        <w:rPr>
          <w:rFonts w:ascii="Calibri" w:hAnsi="Calibri"/>
        </w:rPr>
        <w:t>d at 50/50 mix of red and green.</w:t>
      </w:r>
    </w:p>
    <w:p w:rsidR="00F25BF4" w:rsidRDefault="000A4148" w:rsidP="00A446C9">
      <w:pPr>
        <w:pStyle w:val="BodyText"/>
        <w:rPr>
          <w:rFonts w:ascii="Calibri" w:hAnsi="Calibri"/>
        </w:rPr>
      </w:pPr>
      <w:r>
        <w:rPr>
          <w:rFonts w:ascii="Calibri" w:hAnsi="Calibri"/>
        </w:rPr>
        <w:t>B</w:t>
      </w:r>
      <w:r w:rsidR="00946573">
        <w:rPr>
          <w:rFonts w:ascii="Calibri" w:hAnsi="Calibri"/>
        </w:rPr>
        <w:t xml:space="preserve">etween white and </w:t>
      </w:r>
      <w:proofErr w:type="spellStart"/>
      <w:r w:rsidR="00946573">
        <w:rPr>
          <w:rFonts w:ascii="Calibri" w:hAnsi="Calibri"/>
        </w:rPr>
        <w:t>colored</w:t>
      </w:r>
      <w:proofErr w:type="spellEnd"/>
      <w:r w:rsidR="00946573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light </w:t>
      </w:r>
      <w:r w:rsidR="00946573">
        <w:rPr>
          <w:rFonts w:ascii="Calibri" w:hAnsi="Calibri"/>
        </w:rPr>
        <w:t xml:space="preserve">the sector limit is defined at full intensity of </w:t>
      </w:r>
      <w:proofErr w:type="spellStart"/>
      <w:r w:rsidR="00946573">
        <w:rPr>
          <w:rFonts w:ascii="Calibri" w:hAnsi="Calibri"/>
        </w:rPr>
        <w:t>colored</w:t>
      </w:r>
      <w:proofErr w:type="spellEnd"/>
      <w:r w:rsidR="00946573">
        <w:rPr>
          <w:rFonts w:ascii="Calibri" w:hAnsi="Calibri"/>
        </w:rPr>
        <w:t xml:space="preserve"> light (clear </w:t>
      </w:r>
      <w:proofErr w:type="spellStart"/>
      <w:r w:rsidR="00946573">
        <w:rPr>
          <w:rFonts w:ascii="Calibri" w:hAnsi="Calibri"/>
        </w:rPr>
        <w:t>color</w:t>
      </w:r>
      <w:r w:rsidR="003427E8">
        <w:rPr>
          <w:rFonts w:ascii="Calibri" w:hAnsi="Calibri"/>
        </w:rPr>
        <w:t>ed</w:t>
      </w:r>
      <w:proofErr w:type="spellEnd"/>
      <w:r w:rsidR="003427E8">
        <w:rPr>
          <w:rFonts w:ascii="Calibri" w:hAnsi="Calibri"/>
        </w:rPr>
        <w:t xml:space="preserve"> red or green). For white sectors this is in line with Ed.3 para 12.7, which have the full angle of uncertainty (mixed </w:t>
      </w:r>
      <w:proofErr w:type="spellStart"/>
      <w:r w:rsidR="003427E8">
        <w:rPr>
          <w:rFonts w:ascii="Calibri" w:hAnsi="Calibri"/>
        </w:rPr>
        <w:t>colors</w:t>
      </w:r>
      <w:proofErr w:type="spellEnd"/>
      <w:r w:rsidR="003427E8">
        <w:rPr>
          <w:rFonts w:ascii="Calibri" w:hAnsi="Calibri"/>
        </w:rPr>
        <w:t xml:space="preserve">) </w:t>
      </w:r>
      <w:r w:rsidR="007F6E6A">
        <w:rPr>
          <w:rFonts w:ascii="Calibri" w:hAnsi="Calibri"/>
        </w:rPr>
        <w:t>with</w:t>
      </w:r>
      <w:r w:rsidR="003427E8">
        <w:rPr>
          <w:rFonts w:ascii="Calibri" w:hAnsi="Calibri"/>
        </w:rPr>
        <w:t xml:space="preserve">in the safe sector (white). </w:t>
      </w:r>
    </w:p>
    <w:p w:rsidR="003427E8" w:rsidRDefault="003427E8" w:rsidP="00A446C9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In Ed. 3 para 14.5 (last section) this definition is not used, here the definition is defined as 50/50 mix of white and red/green. </w:t>
      </w:r>
    </w:p>
    <w:p w:rsidR="00DC0A5F" w:rsidRDefault="007F6E6A" w:rsidP="00A446C9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Guideline 1041 Ed.3 should be updated and the principles harmonized. </w:t>
      </w:r>
    </w:p>
    <w:p w:rsidR="00DC0A5F" w:rsidRDefault="00DC0A5F" w:rsidP="00A446C9">
      <w:pPr>
        <w:pStyle w:val="BodyText"/>
        <w:rPr>
          <w:rFonts w:ascii="Calibri" w:hAnsi="Calibri"/>
        </w:rPr>
      </w:pPr>
    </w:p>
    <w:p w:rsidR="007F6E6A" w:rsidRDefault="00DC0A5F" w:rsidP="00A446C9">
      <w:pPr>
        <w:pStyle w:val="BodyText"/>
        <w:rPr>
          <w:rFonts w:ascii="Calibri" w:hAnsi="Calibri"/>
        </w:rPr>
      </w:pPr>
      <w:r>
        <w:rPr>
          <w:rFonts w:ascii="Calibri" w:hAnsi="Calibri"/>
        </w:rPr>
        <w:t>N</w:t>
      </w:r>
      <w:r w:rsidR="00AB7F0A">
        <w:rPr>
          <w:rFonts w:ascii="Calibri" w:hAnsi="Calibri"/>
        </w:rPr>
        <w:t>CA propose</w:t>
      </w:r>
      <w:r w:rsidR="007F6E6A">
        <w:rPr>
          <w:rFonts w:ascii="Calibri" w:hAnsi="Calibri"/>
        </w:rPr>
        <w:t xml:space="preserve"> the </w:t>
      </w:r>
      <w:r w:rsidR="00AB7F0A">
        <w:rPr>
          <w:rFonts w:ascii="Calibri" w:hAnsi="Calibri"/>
        </w:rPr>
        <w:t xml:space="preserve">ARM </w:t>
      </w:r>
      <w:r w:rsidR="007F6E6A">
        <w:rPr>
          <w:rFonts w:ascii="Calibri" w:hAnsi="Calibri"/>
        </w:rPr>
        <w:t xml:space="preserve">Committee to consider having principles from Ed.2 para 5.4.4 and Ed.3 para 12.7 also to be reflected in Ed.3 para 14.5. </w:t>
      </w:r>
    </w:p>
    <w:p w:rsidR="007F6E6A" w:rsidRDefault="007F6E6A" w:rsidP="00A446C9">
      <w:pPr>
        <w:pStyle w:val="BodyText"/>
        <w:rPr>
          <w:rFonts w:ascii="Calibri" w:hAnsi="Calibri"/>
        </w:rPr>
      </w:pPr>
    </w:p>
    <w:p w:rsidR="00A446C9" w:rsidRPr="007A395D" w:rsidRDefault="00A446C9" w:rsidP="00605E43">
      <w:pPr>
        <w:pStyle w:val="Heading1"/>
      </w:pPr>
      <w:r w:rsidRPr="007A395D">
        <w:t>Action requested of the Committee</w:t>
      </w:r>
    </w:p>
    <w:p w:rsidR="00E11DF4" w:rsidRDefault="00E11DF4" w:rsidP="00E11DF4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The ARM Committee to discuss and decide accordingly. </w:t>
      </w:r>
    </w:p>
    <w:p w:rsidR="00E11DF4" w:rsidRDefault="00EC7E8F" w:rsidP="00E11DF4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If the proposed change is accepted, issue a </w:t>
      </w:r>
      <w:proofErr w:type="spellStart"/>
      <w:r>
        <w:rPr>
          <w:rFonts w:ascii="Calibri" w:hAnsi="Calibri"/>
        </w:rPr>
        <w:t>liason</w:t>
      </w:r>
      <w:proofErr w:type="spellEnd"/>
      <w:r>
        <w:rPr>
          <w:rFonts w:ascii="Calibri" w:hAnsi="Calibri"/>
        </w:rPr>
        <w:t xml:space="preserve"> note asking the IALA ENG Committee to update the IALA </w:t>
      </w:r>
      <w:r w:rsidR="00E11DF4">
        <w:rPr>
          <w:rFonts w:ascii="Calibri" w:hAnsi="Calibri"/>
        </w:rPr>
        <w:t xml:space="preserve">Guideline </w:t>
      </w:r>
      <w:r>
        <w:rPr>
          <w:rFonts w:ascii="Calibri" w:hAnsi="Calibri"/>
        </w:rPr>
        <w:t xml:space="preserve">1041 on sector lights. </w:t>
      </w:r>
    </w:p>
    <w:p w:rsidR="00E11DF4" w:rsidRDefault="00E11DF4" w:rsidP="00E11DF4">
      <w:pPr>
        <w:pStyle w:val="BodyText"/>
        <w:rPr>
          <w:rFonts w:ascii="Calibri" w:hAnsi="Calibri"/>
        </w:rPr>
      </w:pPr>
    </w:p>
    <w:p w:rsidR="00E11DF4" w:rsidRDefault="00E11DF4" w:rsidP="00A446C9">
      <w:pPr>
        <w:pStyle w:val="BodyText"/>
        <w:rPr>
          <w:rFonts w:ascii="Calibri" w:hAnsi="Calibri"/>
        </w:rPr>
      </w:pPr>
    </w:p>
    <w:p w:rsidR="00E11DF4" w:rsidRDefault="00E11DF4" w:rsidP="00A446C9">
      <w:pPr>
        <w:pStyle w:val="BodyText"/>
        <w:rPr>
          <w:rFonts w:ascii="Calibri" w:hAnsi="Calibri"/>
        </w:rPr>
      </w:pPr>
    </w:p>
    <w:sectPr w:rsidR="00E11DF4" w:rsidSect="000A4148">
      <w:pgSz w:w="11906" w:h="16838"/>
      <w:pgMar w:top="709" w:right="99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0944" w:rsidRDefault="00FF0944" w:rsidP="00362CD9">
      <w:r>
        <w:separator/>
      </w:r>
    </w:p>
  </w:endnote>
  <w:endnote w:type="continuationSeparator" w:id="0">
    <w:p w:rsidR="00FF0944" w:rsidRDefault="00FF0944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charset w:val="00"/>
    <w:family w:val="auto"/>
    <w:pitch w:val="variable"/>
    <w:sig w:usb0="00000000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0944" w:rsidRDefault="00FF0944" w:rsidP="00362CD9">
      <w:r>
        <w:separator/>
      </w:r>
    </w:p>
  </w:footnote>
  <w:footnote w:type="continuationSeparator" w:id="0">
    <w:p w:rsidR="00FF0944" w:rsidRDefault="00FF0944" w:rsidP="00362CD9">
      <w:r>
        <w:continuationSeparator/>
      </w:r>
    </w:p>
  </w:footnote>
  <w:footnote w:id="1">
    <w:p w:rsidR="00420A38" w:rsidRPr="00EA5A97" w:rsidRDefault="00420A3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EA5A97" w:rsidRPr="00420A38">
        <w:rPr>
          <w:sz w:val="16"/>
          <w:szCs w:val="16"/>
        </w:rPr>
        <w:t>Input document number, to be assigned by the Committee Secretary</w:t>
      </w:r>
    </w:p>
  </w:footnote>
  <w:footnote w:id="2">
    <w:p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2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1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1"/>
  </w:num>
  <w:num w:numId="5">
    <w:abstractNumId w:val="15"/>
  </w:num>
  <w:num w:numId="6">
    <w:abstractNumId w:val="4"/>
  </w:num>
  <w:num w:numId="7">
    <w:abstractNumId w:val="23"/>
  </w:num>
  <w:num w:numId="8">
    <w:abstractNumId w:val="10"/>
  </w:num>
  <w:num w:numId="9">
    <w:abstractNumId w:val="8"/>
  </w:num>
  <w:num w:numId="10">
    <w:abstractNumId w:val="17"/>
  </w:num>
  <w:num w:numId="11">
    <w:abstractNumId w:val="16"/>
  </w:num>
  <w:num w:numId="12">
    <w:abstractNumId w:val="14"/>
  </w:num>
  <w:num w:numId="13">
    <w:abstractNumId w:val="22"/>
  </w:num>
  <w:num w:numId="14">
    <w:abstractNumId w:val="5"/>
  </w:num>
  <w:num w:numId="15">
    <w:abstractNumId w:val="24"/>
  </w:num>
  <w:num w:numId="16">
    <w:abstractNumId w:val="13"/>
  </w:num>
  <w:num w:numId="17">
    <w:abstractNumId w:val="6"/>
  </w:num>
  <w:num w:numId="18">
    <w:abstractNumId w:val="19"/>
  </w:num>
  <w:num w:numId="19">
    <w:abstractNumId w:val="13"/>
  </w:num>
  <w:num w:numId="20">
    <w:abstractNumId w:val="13"/>
  </w:num>
  <w:num w:numId="21">
    <w:abstractNumId w:val="13"/>
  </w:num>
  <w:num w:numId="22">
    <w:abstractNumId w:val="13"/>
  </w:num>
  <w:num w:numId="23">
    <w:abstractNumId w:val="20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8"/>
  </w:num>
  <w:num w:numId="34">
    <w:abstractNumId w:val="18"/>
  </w:num>
  <w:num w:numId="35">
    <w:abstractNumId w:val="18"/>
  </w:num>
  <w:num w:numId="36">
    <w:abstractNumId w:val="11"/>
  </w:num>
  <w:num w:numId="37">
    <w:abstractNumId w:val="5"/>
  </w:num>
  <w:num w:numId="38">
    <w:abstractNumId w:val="14"/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74"/>
    <w:rsid w:val="000005D3"/>
    <w:rsid w:val="000049D8"/>
    <w:rsid w:val="00036B9E"/>
    <w:rsid w:val="00037DF4"/>
    <w:rsid w:val="0004700E"/>
    <w:rsid w:val="00070C13"/>
    <w:rsid w:val="000715C9"/>
    <w:rsid w:val="00084F33"/>
    <w:rsid w:val="000A4148"/>
    <w:rsid w:val="000A77A7"/>
    <w:rsid w:val="000B1707"/>
    <w:rsid w:val="000C1B3E"/>
    <w:rsid w:val="000C349E"/>
    <w:rsid w:val="001021B0"/>
    <w:rsid w:val="00110AE7"/>
    <w:rsid w:val="00177F4D"/>
    <w:rsid w:val="00180DDA"/>
    <w:rsid w:val="001B2A2D"/>
    <w:rsid w:val="001B737D"/>
    <w:rsid w:val="001C44A3"/>
    <w:rsid w:val="001E0E15"/>
    <w:rsid w:val="001F528A"/>
    <w:rsid w:val="001F704E"/>
    <w:rsid w:val="00201722"/>
    <w:rsid w:val="002125B0"/>
    <w:rsid w:val="00216415"/>
    <w:rsid w:val="00243228"/>
    <w:rsid w:val="00251483"/>
    <w:rsid w:val="00255CAA"/>
    <w:rsid w:val="00264305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427E8"/>
    <w:rsid w:val="00356CD0"/>
    <w:rsid w:val="00362CD9"/>
    <w:rsid w:val="003761CA"/>
    <w:rsid w:val="00380DAF"/>
    <w:rsid w:val="003972CE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20A38"/>
    <w:rsid w:val="00431B19"/>
    <w:rsid w:val="004661AD"/>
    <w:rsid w:val="004D1D85"/>
    <w:rsid w:val="004D3C3A"/>
    <w:rsid w:val="004E1CD1"/>
    <w:rsid w:val="005107EB"/>
    <w:rsid w:val="00521345"/>
    <w:rsid w:val="00526DF0"/>
    <w:rsid w:val="00545CC4"/>
    <w:rsid w:val="00551FFF"/>
    <w:rsid w:val="005607A2"/>
    <w:rsid w:val="0057198B"/>
    <w:rsid w:val="00573CFE"/>
    <w:rsid w:val="005969F2"/>
    <w:rsid w:val="00597FAE"/>
    <w:rsid w:val="005B32A3"/>
    <w:rsid w:val="005B7D45"/>
    <w:rsid w:val="005C0D44"/>
    <w:rsid w:val="005C566C"/>
    <w:rsid w:val="005C7E69"/>
    <w:rsid w:val="005E262D"/>
    <w:rsid w:val="005F23D3"/>
    <w:rsid w:val="005F7E20"/>
    <w:rsid w:val="00605E43"/>
    <w:rsid w:val="006153BB"/>
    <w:rsid w:val="006652C3"/>
    <w:rsid w:val="00691FD0"/>
    <w:rsid w:val="00692148"/>
    <w:rsid w:val="006A1A1E"/>
    <w:rsid w:val="006C5948"/>
    <w:rsid w:val="006F2A74"/>
    <w:rsid w:val="007118F5"/>
    <w:rsid w:val="00712AA4"/>
    <w:rsid w:val="007146C4"/>
    <w:rsid w:val="00721AA1"/>
    <w:rsid w:val="00724B67"/>
    <w:rsid w:val="007547F8"/>
    <w:rsid w:val="00765622"/>
    <w:rsid w:val="00770B6C"/>
    <w:rsid w:val="00783FEA"/>
    <w:rsid w:val="007A395D"/>
    <w:rsid w:val="007B6BD5"/>
    <w:rsid w:val="007C346C"/>
    <w:rsid w:val="007E6479"/>
    <w:rsid w:val="007F6E6A"/>
    <w:rsid w:val="0080294B"/>
    <w:rsid w:val="0082480E"/>
    <w:rsid w:val="00850293"/>
    <w:rsid w:val="00851373"/>
    <w:rsid w:val="00851BA6"/>
    <w:rsid w:val="0085654D"/>
    <w:rsid w:val="00861160"/>
    <w:rsid w:val="0086654F"/>
    <w:rsid w:val="008A356F"/>
    <w:rsid w:val="008A4653"/>
    <w:rsid w:val="008A4717"/>
    <w:rsid w:val="008A50CC"/>
    <w:rsid w:val="008D1694"/>
    <w:rsid w:val="008D79CB"/>
    <w:rsid w:val="008F07BC"/>
    <w:rsid w:val="0092692B"/>
    <w:rsid w:val="00943E9C"/>
    <w:rsid w:val="00946573"/>
    <w:rsid w:val="00953F4D"/>
    <w:rsid w:val="00960BB8"/>
    <w:rsid w:val="00964F5C"/>
    <w:rsid w:val="00973B57"/>
    <w:rsid w:val="009831C0"/>
    <w:rsid w:val="0099161D"/>
    <w:rsid w:val="00A0389B"/>
    <w:rsid w:val="00A33A3C"/>
    <w:rsid w:val="00A446C9"/>
    <w:rsid w:val="00A635D6"/>
    <w:rsid w:val="00A8553A"/>
    <w:rsid w:val="00A93AED"/>
    <w:rsid w:val="00AB7F0A"/>
    <w:rsid w:val="00AE1319"/>
    <w:rsid w:val="00AE34BB"/>
    <w:rsid w:val="00B0482E"/>
    <w:rsid w:val="00B226F2"/>
    <w:rsid w:val="00B274DF"/>
    <w:rsid w:val="00B56BDF"/>
    <w:rsid w:val="00B65812"/>
    <w:rsid w:val="00B85CD6"/>
    <w:rsid w:val="00B90A27"/>
    <w:rsid w:val="00B9554D"/>
    <w:rsid w:val="00BB2B9F"/>
    <w:rsid w:val="00BB7D9E"/>
    <w:rsid w:val="00BC2334"/>
    <w:rsid w:val="00BD3CB8"/>
    <w:rsid w:val="00BD4E6F"/>
    <w:rsid w:val="00BF32F0"/>
    <w:rsid w:val="00BF4DCE"/>
    <w:rsid w:val="00C05CE5"/>
    <w:rsid w:val="00C6171E"/>
    <w:rsid w:val="00C95279"/>
    <w:rsid w:val="00CA6F2C"/>
    <w:rsid w:val="00CF1871"/>
    <w:rsid w:val="00D019CE"/>
    <w:rsid w:val="00D1133E"/>
    <w:rsid w:val="00D17A34"/>
    <w:rsid w:val="00D26628"/>
    <w:rsid w:val="00D332B3"/>
    <w:rsid w:val="00D55207"/>
    <w:rsid w:val="00D81801"/>
    <w:rsid w:val="00D92B45"/>
    <w:rsid w:val="00D95962"/>
    <w:rsid w:val="00DC0A5F"/>
    <w:rsid w:val="00DC389B"/>
    <w:rsid w:val="00DE2FEE"/>
    <w:rsid w:val="00E00BE9"/>
    <w:rsid w:val="00E11DF4"/>
    <w:rsid w:val="00E22A11"/>
    <w:rsid w:val="00E31E5C"/>
    <w:rsid w:val="00E44DD2"/>
    <w:rsid w:val="00E558C3"/>
    <w:rsid w:val="00E55927"/>
    <w:rsid w:val="00E912A6"/>
    <w:rsid w:val="00EA4844"/>
    <w:rsid w:val="00EA4D9C"/>
    <w:rsid w:val="00EA5A97"/>
    <w:rsid w:val="00EB75EE"/>
    <w:rsid w:val="00EC7E8F"/>
    <w:rsid w:val="00EE4C1D"/>
    <w:rsid w:val="00EF3685"/>
    <w:rsid w:val="00F04350"/>
    <w:rsid w:val="00F133DB"/>
    <w:rsid w:val="00F159EB"/>
    <w:rsid w:val="00F25BF4"/>
    <w:rsid w:val="00F267DB"/>
    <w:rsid w:val="00F46F6F"/>
    <w:rsid w:val="00F60608"/>
    <w:rsid w:val="00F62217"/>
    <w:rsid w:val="00FB17A9"/>
    <w:rsid w:val="00FB527C"/>
    <w:rsid w:val="00FB6F75"/>
    <w:rsid w:val="00FC0EB3"/>
    <w:rsid w:val="00FD675E"/>
    <w:rsid w:val="00FE5674"/>
    <w:rsid w:val="00FF0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88C157-53D8-4DC3-9EB9-E2099088F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3</Pages>
  <Words>336</Words>
  <Characters>1851</Characters>
  <Application>Microsoft Office Word</Application>
  <DocSecurity>0</DocSecurity>
  <Lines>15</Lines>
  <Paragraphs>4</Paragraphs>
  <ScaleCrop>false</ScaleCrop>
  <HeadingPairs>
    <vt:vector size="4" baseType="variant">
      <vt:variant>
        <vt:lpstr>Tittel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Wim</cp:lastModifiedBy>
  <cp:revision>14</cp:revision>
  <dcterms:created xsi:type="dcterms:W3CDTF">2017-04-06T11:21:00Z</dcterms:created>
  <dcterms:modified xsi:type="dcterms:W3CDTF">2017-04-10T13:58:00Z</dcterms:modified>
</cp:coreProperties>
</file>