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rsidR="007E174E">
        <w:t>VTS38-9.2.9</w:t>
      </w:r>
      <w:bookmarkStart w:id="0" w:name="_GoBack"/>
      <w:bookmarkEnd w:id="0"/>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r w:rsidRPr="0080294B">
        <w:rPr>
          <w:rFonts w:cs="Arial"/>
          <w:b/>
          <w:sz w:val="24"/>
          <w:szCs w:val="24"/>
        </w:rPr>
        <w:t>□</w:t>
      </w:r>
      <w:r w:rsidRPr="0080294B">
        <w:rPr>
          <w:rFonts w:cs="Arial"/>
        </w:rPr>
        <w:t>ARM</w:t>
      </w:r>
      <w:r w:rsidR="00037DF4">
        <w:rPr>
          <w:rFonts w:cs="Arial"/>
        </w:rPr>
        <w:tab/>
      </w:r>
      <w:r w:rsidRPr="0080294B">
        <w:rPr>
          <w:rFonts w:cs="Arial"/>
          <w:b/>
          <w:sz w:val="24"/>
          <w:szCs w:val="24"/>
        </w:rPr>
        <w:t>□</w:t>
      </w:r>
      <w:r w:rsidRPr="0080294B">
        <w:rPr>
          <w:rFonts w:cs="Arial"/>
        </w:rPr>
        <w:t>ENG</w:t>
      </w:r>
      <w:r>
        <w:rPr>
          <w:rFonts w:cs="Arial"/>
        </w:rPr>
        <w:tab/>
      </w:r>
      <w:r>
        <w:rPr>
          <w:rFonts w:cs="Arial"/>
        </w:rPr>
        <w:tab/>
      </w:r>
      <w:r w:rsidRPr="0080294B">
        <w:rPr>
          <w:rFonts w:cs="Arial"/>
          <w:b/>
          <w:sz w:val="24"/>
          <w:szCs w:val="24"/>
        </w:rPr>
        <w:t>□</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15D49" w:rsidRPr="00460AD4">
        <w:rPr>
          <w:rFonts w:cs="Arial"/>
          <w:bCs/>
          <w:sz w:val="24"/>
        </w:rPr>
        <w:sym w:font="Wingdings 2" w:char="F052"/>
      </w:r>
      <w:r w:rsidRPr="0080294B">
        <w:rPr>
          <w:rFonts w:cs="Arial"/>
          <w:sz w:val="24"/>
          <w:szCs w:val="24"/>
        </w:rPr>
        <w:t xml:space="preserve">  Input</w:t>
      </w:r>
    </w:p>
    <w:p w:rsidR="0080294B" w:rsidRPr="0080294B" w:rsidRDefault="0080294B" w:rsidP="00037DF4">
      <w:pPr>
        <w:pStyle w:val="BodyText"/>
        <w:tabs>
          <w:tab w:val="left" w:pos="1843"/>
        </w:tabs>
      </w:pPr>
      <w:r w:rsidRPr="0080294B">
        <w:rPr>
          <w:rFonts w:cs="Arial"/>
          <w:b/>
          <w:sz w:val="24"/>
          <w:szCs w:val="24"/>
        </w:rPr>
        <w:t>□</w:t>
      </w:r>
      <w:r w:rsidRPr="003D2DC1">
        <w:rPr>
          <w:rFonts w:cs="Arial"/>
        </w:rPr>
        <w:t>ENAV</w:t>
      </w:r>
      <w:r>
        <w:rPr>
          <w:rFonts w:cs="Arial"/>
          <w:b/>
          <w:sz w:val="24"/>
          <w:szCs w:val="24"/>
        </w:rPr>
        <w:tab/>
      </w:r>
      <w:r w:rsidR="00815D49" w:rsidRPr="00460AD4">
        <w:rPr>
          <w:rFonts w:cs="Arial"/>
          <w:bCs/>
          <w:sz w:val="24"/>
        </w:rPr>
        <w:sym w:font="Wingdings 2" w:char="F052"/>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proofErr w:type="gramStart"/>
      <w:r w:rsidRPr="0080294B">
        <w:rPr>
          <w:rFonts w:cs="Arial"/>
          <w:b/>
          <w:sz w:val="24"/>
          <w:szCs w:val="24"/>
        </w:rPr>
        <w:t>□</w:t>
      </w:r>
      <w:r w:rsidRPr="0080294B">
        <w:rPr>
          <w:rFonts w:cs="Arial"/>
          <w:sz w:val="24"/>
          <w:szCs w:val="24"/>
        </w:rPr>
        <w:t xml:space="preserve">  Information</w:t>
      </w:r>
      <w:proofErr w:type="gramEnd"/>
    </w:p>
    <w:p w:rsidR="0080294B" w:rsidRDefault="0080294B" w:rsidP="00FE5674">
      <w:pPr>
        <w:pStyle w:val="BodyText"/>
        <w:tabs>
          <w:tab w:val="left" w:pos="2835"/>
        </w:tabs>
      </w:pPr>
    </w:p>
    <w:p w:rsidR="00A446C9" w:rsidRPr="00FE5674" w:rsidRDefault="00A446C9" w:rsidP="00FE5674">
      <w:pPr>
        <w:pStyle w:val="BodyText"/>
        <w:tabs>
          <w:tab w:val="left" w:pos="2835"/>
        </w:tabs>
        <w:rPr>
          <w:lang w:eastAsia="zh-CN"/>
        </w:rPr>
      </w:pPr>
      <w:r w:rsidRPr="00FE5674">
        <w:t>Agenda item</w:t>
      </w:r>
      <w:r w:rsidR="00037DF4" w:rsidRPr="00037DF4">
        <w:rPr>
          <w:rStyle w:val="FootnoteReference"/>
          <w:sz w:val="22"/>
          <w:vertAlign w:val="superscript"/>
        </w:rPr>
        <w:footnoteReference w:id="2"/>
      </w:r>
      <w:r w:rsidR="001C44A3" w:rsidRPr="00FE5674">
        <w:tab/>
      </w:r>
      <w:r w:rsidR="0080294B">
        <w:tab/>
      </w:r>
      <w:r w:rsidR="0080294B">
        <w:tab/>
      </w:r>
      <w:r w:rsidR="00815D49">
        <w:rPr>
          <w:rFonts w:hint="eastAsia"/>
          <w:lang w:eastAsia="zh-CN"/>
        </w:rPr>
        <w:t>9</w:t>
      </w:r>
      <w:r w:rsidR="0080294B" w:rsidRPr="0080294B">
        <w:t>.</w:t>
      </w:r>
      <w:r w:rsidR="00815D49">
        <w:rPr>
          <w:rFonts w:hint="eastAsia"/>
          <w:lang w:eastAsia="zh-CN"/>
        </w:rPr>
        <w:t>2</w:t>
      </w:r>
    </w:p>
    <w:p w:rsidR="00A446C9" w:rsidRPr="00FE5674" w:rsidRDefault="0080294B" w:rsidP="00FE5674">
      <w:pPr>
        <w:pStyle w:val="BodyText"/>
        <w:tabs>
          <w:tab w:val="left" w:pos="2835"/>
        </w:tabs>
        <w:rPr>
          <w:lang w:eastAsia="zh-CN"/>
        </w:rPr>
      </w:pPr>
      <w:r>
        <w:t xml:space="preserve">Technical Domain / </w:t>
      </w:r>
      <w:r w:rsidR="00A446C9" w:rsidRPr="00FE5674">
        <w:t>Task Number</w:t>
      </w:r>
      <w:r w:rsidR="00037DF4">
        <w:rPr>
          <w:vertAlign w:val="superscript"/>
        </w:rPr>
        <w:t>2</w:t>
      </w:r>
      <w:r w:rsidR="001C44A3" w:rsidRPr="00FE5674">
        <w:tab/>
      </w:r>
      <w:r w:rsidR="00815D49">
        <w:rPr>
          <w:rFonts w:hint="eastAsia"/>
          <w:lang w:eastAsia="zh-CN"/>
        </w:rPr>
        <w:t>Technical / 6</w:t>
      </w:r>
    </w:p>
    <w:p w:rsidR="00362CD9" w:rsidRDefault="00362CD9" w:rsidP="00FE5674">
      <w:pPr>
        <w:pStyle w:val="BodyText"/>
        <w:tabs>
          <w:tab w:val="left" w:pos="2835"/>
        </w:tabs>
        <w:rPr>
          <w:color w:val="FF0000"/>
          <w:lang w:eastAsia="zh-CN"/>
        </w:rPr>
      </w:pPr>
      <w:r w:rsidRPr="00FE5674">
        <w:t>Author(s)</w:t>
      </w:r>
      <w:r w:rsidR="00FE5674" w:rsidRPr="00FE5674">
        <w:t xml:space="preserve"> / Submitter(s)</w:t>
      </w:r>
      <w:r w:rsidRPr="00FE5674">
        <w:tab/>
      </w:r>
      <w:r w:rsidR="0080294B">
        <w:tab/>
      </w:r>
      <w:r w:rsidR="0080294B">
        <w:tab/>
      </w:r>
      <w:r w:rsidR="00815D49">
        <w:rPr>
          <w:rFonts w:hint="eastAsia"/>
          <w:lang w:eastAsia="zh-CN"/>
        </w:rPr>
        <w:t>China Maritime Safety Administration</w:t>
      </w:r>
    </w:p>
    <w:p w:rsidR="0080294B" w:rsidRDefault="0080294B" w:rsidP="00FE5674">
      <w:pPr>
        <w:pStyle w:val="BodyText"/>
        <w:tabs>
          <w:tab w:val="left" w:pos="2835"/>
        </w:tabs>
      </w:pPr>
    </w:p>
    <w:p w:rsidR="00815D49" w:rsidRDefault="00815D49" w:rsidP="00815D49">
      <w:pPr>
        <w:pStyle w:val="Title"/>
        <w:rPr>
          <w:lang w:eastAsia="zh-CN"/>
        </w:rPr>
      </w:pPr>
      <w:r>
        <w:rPr>
          <w:rFonts w:hint="eastAsia"/>
          <w:lang w:eastAsia="zh-CN"/>
        </w:rPr>
        <w:t xml:space="preserve">Proposed Revision of V-128 Draft </w:t>
      </w:r>
    </w:p>
    <w:p w:rsidR="00815D49" w:rsidRDefault="00815D49" w:rsidP="00815D49">
      <w:pPr>
        <w:pStyle w:val="Heading1"/>
        <w:numPr>
          <w:ilvl w:val="0"/>
          <w:numId w:val="14"/>
        </w:numPr>
      </w:pPr>
      <w:r>
        <w:t>Summary</w:t>
      </w:r>
    </w:p>
    <w:p w:rsidR="00815D49" w:rsidRDefault="00815D49" w:rsidP="00815D49">
      <w:pPr>
        <w:pStyle w:val="BodyText"/>
      </w:pPr>
      <w:r>
        <w:rPr>
          <w:rFonts w:hint="eastAsia"/>
          <w:lang w:eastAsia="zh-CN"/>
        </w:rPr>
        <w:t xml:space="preserve">IALA </w:t>
      </w:r>
      <w:r>
        <w:rPr>
          <w:lang w:eastAsia="zh-CN"/>
        </w:rPr>
        <w:t>recommendation</w:t>
      </w:r>
      <w:r>
        <w:rPr>
          <w:rFonts w:hint="eastAsia"/>
          <w:lang w:eastAsia="zh-CN"/>
        </w:rPr>
        <w:t xml:space="preserve"> V-128 draft edition 4 will be discussed to approve by the </w:t>
      </w:r>
      <w:r>
        <w:rPr>
          <w:lang w:eastAsia="zh-CN"/>
        </w:rPr>
        <w:t>committee</w:t>
      </w:r>
      <w:r>
        <w:rPr>
          <w:rFonts w:hint="eastAsia"/>
          <w:lang w:eastAsia="zh-CN"/>
        </w:rPr>
        <w:t xml:space="preserve"> on VTS38. To provide the comments for the daft edition, China Maritime Safety Administration (China MSA) has </w:t>
      </w:r>
      <w:r>
        <w:rPr>
          <w:lang w:eastAsia="zh-CN"/>
        </w:rPr>
        <w:t>translated</w:t>
      </w:r>
      <w:r>
        <w:rPr>
          <w:rFonts w:hint="eastAsia"/>
          <w:lang w:eastAsia="zh-CN"/>
        </w:rPr>
        <w:t xml:space="preserve"> the draft to Chinese language and circulate both </w:t>
      </w:r>
      <w:r>
        <w:rPr>
          <w:lang w:eastAsia="zh-CN"/>
        </w:rPr>
        <w:t>English</w:t>
      </w:r>
      <w:r>
        <w:rPr>
          <w:rFonts w:hint="eastAsia"/>
          <w:lang w:eastAsia="zh-CN"/>
        </w:rPr>
        <w:t xml:space="preserve"> and </w:t>
      </w:r>
      <w:r>
        <w:rPr>
          <w:lang w:eastAsia="zh-CN"/>
        </w:rPr>
        <w:t>Chinese</w:t>
      </w:r>
      <w:r>
        <w:rPr>
          <w:rFonts w:hint="eastAsia"/>
          <w:lang w:eastAsia="zh-CN"/>
        </w:rPr>
        <w:t xml:space="preserve"> version to all related administrations, manufactures and </w:t>
      </w:r>
      <w:r>
        <w:rPr>
          <w:lang w:eastAsia="zh-CN"/>
        </w:rPr>
        <w:t>institutions</w:t>
      </w:r>
      <w:r>
        <w:rPr>
          <w:rFonts w:hint="eastAsia"/>
          <w:lang w:eastAsia="zh-CN"/>
        </w:rPr>
        <w:t xml:space="preserve"> for comments. China MSA has received 23 comments to the current draft. With careful consideration, 13 comments were adopted by China MSA and are provided to the committee to consider. </w:t>
      </w:r>
    </w:p>
    <w:p w:rsidR="00815D49" w:rsidRDefault="00815D49" w:rsidP="00815D49">
      <w:pPr>
        <w:pStyle w:val="Heading2"/>
        <w:numPr>
          <w:ilvl w:val="1"/>
          <w:numId w:val="14"/>
        </w:numPr>
      </w:pPr>
      <w:r>
        <w:t>Purpose of the document</w:t>
      </w:r>
    </w:p>
    <w:p w:rsidR="00815D49" w:rsidRPr="00B56BDF" w:rsidRDefault="00815D49" w:rsidP="00815D49">
      <w:pPr>
        <w:pStyle w:val="BodyText"/>
      </w:pPr>
      <w:r>
        <w:rPr>
          <w:rFonts w:hint="eastAsia"/>
          <w:lang w:eastAsia="zh-CN"/>
        </w:rPr>
        <w:t xml:space="preserve">This document is provided for the reference to revise the current draft </w:t>
      </w:r>
      <w:r>
        <w:rPr>
          <w:lang w:eastAsia="zh-CN"/>
        </w:rPr>
        <w:t>edition</w:t>
      </w:r>
      <w:r>
        <w:rPr>
          <w:rFonts w:hint="eastAsia"/>
          <w:lang w:eastAsia="zh-CN"/>
        </w:rPr>
        <w:t xml:space="preserve"> on V-128, operational and technical requirements for VTS equipments.</w:t>
      </w:r>
    </w:p>
    <w:p w:rsidR="00815D49" w:rsidRDefault="00815D49" w:rsidP="00815D49">
      <w:pPr>
        <w:pStyle w:val="Heading2"/>
        <w:numPr>
          <w:ilvl w:val="1"/>
          <w:numId w:val="14"/>
        </w:numPr>
      </w:pPr>
      <w:r>
        <w:t>Related documents</w:t>
      </w:r>
    </w:p>
    <w:p w:rsidR="00815D49" w:rsidRPr="00B56BDF" w:rsidRDefault="00815D49" w:rsidP="00815D49">
      <w:pPr>
        <w:pStyle w:val="BodyText"/>
      </w:pPr>
      <w:r>
        <w:rPr>
          <w:rFonts w:hint="eastAsia"/>
          <w:lang w:eastAsia="zh-CN"/>
        </w:rPr>
        <w:t xml:space="preserve">[1] IALA </w:t>
      </w:r>
      <w:r>
        <w:rPr>
          <w:lang w:eastAsia="zh-CN"/>
        </w:rPr>
        <w:t>Recommendation</w:t>
      </w:r>
      <w:r>
        <w:rPr>
          <w:rFonts w:hint="eastAsia"/>
          <w:lang w:eastAsia="zh-CN"/>
        </w:rPr>
        <w:t xml:space="preserve"> V-128 </w:t>
      </w:r>
      <w:proofErr w:type="gramStart"/>
      <w:r>
        <w:rPr>
          <w:rFonts w:hint="eastAsia"/>
          <w:lang w:eastAsia="zh-CN"/>
        </w:rPr>
        <w:t>On</w:t>
      </w:r>
      <w:proofErr w:type="gramEnd"/>
      <w:r>
        <w:rPr>
          <w:rFonts w:hint="eastAsia"/>
          <w:lang w:eastAsia="zh-CN"/>
        </w:rPr>
        <w:t xml:space="preserve"> Operational and Technical Performance Requirements for VTS Equipment, Edition 4 Draft</w:t>
      </w:r>
      <w:r>
        <w:t>.</w:t>
      </w:r>
    </w:p>
    <w:p w:rsidR="00815D49" w:rsidRDefault="00815D49" w:rsidP="00815D49">
      <w:pPr>
        <w:pStyle w:val="Heading1"/>
        <w:numPr>
          <w:ilvl w:val="0"/>
          <w:numId w:val="14"/>
        </w:numPr>
      </w:pPr>
      <w:r>
        <w:t>Background</w:t>
      </w:r>
    </w:p>
    <w:p w:rsidR="00815D49" w:rsidRDefault="00815D49" w:rsidP="00815D49">
      <w:pPr>
        <w:pStyle w:val="BodyText"/>
        <w:rPr>
          <w:lang w:eastAsia="zh-CN"/>
        </w:rPr>
      </w:pPr>
      <w:r>
        <w:rPr>
          <w:rFonts w:hint="eastAsia"/>
          <w:lang w:eastAsia="zh-CN"/>
        </w:rPr>
        <w:t xml:space="preserve">During VTS37, the working group 2 of VTS </w:t>
      </w:r>
      <w:r>
        <w:rPr>
          <w:lang w:eastAsia="zh-CN"/>
        </w:rPr>
        <w:t>committee</w:t>
      </w:r>
      <w:r>
        <w:rPr>
          <w:rFonts w:hint="eastAsia"/>
          <w:lang w:eastAsia="zh-CN"/>
        </w:rPr>
        <w:t xml:space="preserve"> provided the draft edition 4 of the recommendation V-128 for </w:t>
      </w:r>
      <w:r>
        <w:rPr>
          <w:lang w:eastAsia="zh-CN"/>
        </w:rPr>
        <w:t>approval</w:t>
      </w:r>
      <w:r>
        <w:rPr>
          <w:rFonts w:hint="eastAsia"/>
          <w:lang w:eastAsia="zh-CN"/>
        </w:rPr>
        <w:t xml:space="preserve">. Due to the large size of the draft edition and limited time, some delegates raised the concerns to the approval. The committee postponed the approval to VTS38 and request the members to provide the comments to the </w:t>
      </w:r>
      <w:proofErr w:type="spellStart"/>
      <w:r>
        <w:rPr>
          <w:rFonts w:hint="eastAsia"/>
          <w:lang w:eastAsia="zh-CN"/>
        </w:rPr>
        <w:t>intersessional</w:t>
      </w:r>
      <w:proofErr w:type="spellEnd"/>
      <w:r>
        <w:rPr>
          <w:rFonts w:hint="eastAsia"/>
          <w:lang w:eastAsia="zh-CN"/>
        </w:rPr>
        <w:t xml:space="preserve"> working groups to revise the draft. </w:t>
      </w:r>
    </w:p>
    <w:p w:rsidR="00815D49" w:rsidRDefault="00815D49" w:rsidP="00815D49">
      <w:pPr>
        <w:pStyle w:val="BodyText"/>
        <w:rPr>
          <w:lang w:eastAsia="zh-CN"/>
        </w:rPr>
      </w:pPr>
    </w:p>
    <w:p w:rsidR="00815D49" w:rsidRDefault="00815D49" w:rsidP="00815D49">
      <w:pPr>
        <w:pStyle w:val="BodyText"/>
        <w:rPr>
          <w:lang w:eastAsia="zh-CN"/>
        </w:rPr>
      </w:pPr>
      <w:r>
        <w:rPr>
          <w:rFonts w:hint="eastAsia"/>
          <w:lang w:eastAsia="zh-CN"/>
        </w:rPr>
        <w:t xml:space="preserve">There is the largest number of VTS systems that are operated by China MSA comparing with other administrations. The standards or the </w:t>
      </w:r>
      <w:r>
        <w:rPr>
          <w:lang w:eastAsia="zh-CN"/>
        </w:rPr>
        <w:t>requirements</w:t>
      </w:r>
      <w:r>
        <w:rPr>
          <w:rFonts w:hint="eastAsia"/>
          <w:lang w:eastAsia="zh-CN"/>
        </w:rPr>
        <w:t xml:space="preserve"> of VTS equipments are critical for the objectives and operations of VTS services in China. China MSA is now proposing a national standard for the VTS equipments operated in the shipping domain. The international recommendations on VTS equipments will provide an international framework to the national standard.</w:t>
      </w:r>
    </w:p>
    <w:p w:rsidR="00815D49" w:rsidRDefault="00815D49" w:rsidP="00815D49">
      <w:pPr>
        <w:pStyle w:val="BodyText"/>
        <w:rPr>
          <w:lang w:eastAsia="zh-CN"/>
        </w:rPr>
      </w:pPr>
      <w:r>
        <w:rPr>
          <w:rFonts w:hint="eastAsia"/>
          <w:lang w:eastAsia="zh-CN"/>
        </w:rPr>
        <w:t xml:space="preserve"> </w:t>
      </w:r>
    </w:p>
    <w:p w:rsidR="00815D49" w:rsidRDefault="00815D49" w:rsidP="00815D49">
      <w:pPr>
        <w:pStyle w:val="Heading1"/>
        <w:numPr>
          <w:ilvl w:val="0"/>
          <w:numId w:val="14"/>
        </w:numPr>
      </w:pPr>
      <w:r>
        <w:lastRenderedPageBreak/>
        <w:t>Discussion</w:t>
      </w:r>
    </w:p>
    <w:p w:rsidR="00815D49" w:rsidRDefault="00815D49" w:rsidP="00815D49">
      <w:pPr>
        <w:pStyle w:val="BodyText"/>
        <w:rPr>
          <w:lang w:eastAsia="zh-CN"/>
        </w:rPr>
      </w:pPr>
      <w:r>
        <w:rPr>
          <w:rFonts w:hint="eastAsia"/>
          <w:lang w:eastAsia="zh-CN"/>
        </w:rPr>
        <w:t>To facilitate the implementation of the R</w:t>
      </w:r>
      <w:r>
        <w:rPr>
          <w:lang w:eastAsia="zh-CN"/>
        </w:rPr>
        <w:t>ecommendation</w:t>
      </w:r>
      <w:r>
        <w:rPr>
          <w:rFonts w:hint="eastAsia"/>
          <w:lang w:eastAsia="zh-CN"/>
        </w:rPr>
        <w:t xml:space="preserve"> V-128 in the industry and develop a national standard of VTS equipments in the future, China MSA has </w:t>
      </w:r>
      <w:r>
        <w:rPr>
          <w:lang w:eastAsia="zh-CN"/>
        </w:rPr>
        <w:t>translated</w:t>
      </w:r>
      <w:r>
        <w:rPr>
          <w:rFonts w:hint="eastAsia"/>
          <w:lang w:eastAsia="zh-CN"/>
        </w:rPr>
        <w:t xml:space="preserve"> the draft to Chinese language and circulate both </w:t>
      </w:r>
      <w:r>
        <w:rPr>
          <w:lang w:eastAsia="zh-CN"/>
        </w:rPr>
        <w:t>English</w:t>
      </w:r>
      <w:r>
        <w:rPr>
          <w:rFonts w:hint="eastAsia"/>
          <w:lang w:eastAsia="zh-CN"/>
        </w:rPr>
        <w:t xml:space="preserve"> and </w:t>
      </w:r>
      <w:r>
        <w:rPr>
          <w:lang w:eastAsia="zh-CN"/>
        </w:rPr>
        <w:t>Chinese</w:t>
      </w:r>
      <w:r>
        <w:rPr>
          <w:rFonts w:hint="eastAsia"/>
          <w:lang w:eastAsia="zh-CN"/>
        </w:rPr>
        <w:t xml:space="preserve"> version to all related administrations, manufactures and </w:t>
      </w:r>
      <w:r>
        <w:rPr>
          <w:lang w:eastAsia="zh-CN"/>
        </w:rPr>
        <w:t>institutions</w:t>
      </w:r>
      <w:r>
        <w:rPr>
          <w:rFonts w:hint="eastAsia"/>
          <w:lang w:eastAsia="zh-CN"/>
        </w:rPr>
        <w:t xml:space="preserve"> for comments. China MSA has received 23 comments to the current draft. With careful consideration, 13 comments (See ANNEX A) were adopted by China MSA and are provided to the committee for the approval of the Recommendation.  </w:t>
      </w:r>
    </w:p>
    <w:p w:rsidR="00815D49" w:rsidRPr="006636A4" w:rsidRDefault="00815D49" w:rsidP="00815D49">
      <w:pPr>
        <w:pStyle w:val="BodyText"/>
        <w:rPr>
          <w:lang w:eastAsia="zh-CN"/>
        </w:rPr>
      </w:pPr>
    </w:p>
    <w:p w:rsidR="00815D49" w:rsidRDefault="00815D49" w:rsidP="00815D49">
      <w:pPr>
        <w:pStyle w:val="BodyText"/>
      </w:pPr>
      <w:r>
        <w:rPr>
          <w:rFonts w:hint="eastAsia"/>
          <w:lang w:eastAsia="zh-CN"/>
        </w:rPr>
        <w:t xml:space="preserve">The comments provided are based on the practical experience of China MSA and the </w:t>
      </w:r>
      <w:r>
        <w:rPr>
          <w:lang w:eastAsia="zh-CN"/>
        </w:rPr>
        <w:t>capability of</w:t>
      </w:r>
      <w:r>
        <w:rPr>
          <w:rFonts w:hint="eastAsia"/>
          <w:lang w:eastAsia="zh-CN"/>
        </w:rPr>
        <w:t xml:space="preserve"> VTS systems operated in China. China MSA agrees most parts of the Recommendation, and </w:t>
      </w:r>
      <w:r>
        <w:rPr>
          <w:lang w:eastAsia="zh-CN"/>
        </w:rPr>
        <w:t>believe</w:t>
      </w:r>
      <w:r>
        <w:rPr>
          <w:rFonts w:hint="eastAsia"/>
          <w:lang w:eastAsia="zh-CN"/>
        </w:rPr>
        <w:t>s that the approval of the new edition of the Recommendation will enhance the capability and efficiency of VTS services in the world.</w:t>
      </w:r>
    </w:p>
    <w:p w:rsidR="00815D49" w:rsidRDefault="00815D49" w:rsidP="00815D49">
      <w:pPr>
        <w:pStyle w:val="Heading1"/>
        <w:numPr>
          <w:ilvl w:val="0"/>
          <w:numId w:val="14"/>
        </w:numPr>
      </w:pPr>
      <w:r>
        <w:t>Action requested of the Committee</w:t>
      </w:r>
    </w:p>
    <w:p w:rsidR="00815D49" w:rsidRDefault="00815D49" w:rsidP="00815D49">
      <w:pPr>
        <w:pStyle w:val="BodyText"/>
        <w:rPr>
          <w:lang w:eastAsia="zh-CN"/>
        </w:rPr>
      </w:pPr>
      <w:r>
        <w:t>The Committee is requested to:</w:t>
      </w:r>
    </w:p>
    <w:p w:rsidR="00815D49" w:rsidRDefault="00815D49" w:rsidP="00815D49">
      <w:pPr>
        <w:pStyle w:val="List1"/>
        <w:numPr>
          <w:ilvl w:val="0"/>
          <w:numId w:val="39"/>
        </w:numPr>
      </w:pPr>
      <w:r>
        <w:rPr>
          <w:rFonts w:eastAsia="SimSun"/>
          <w:lang w:eastAsia="zh-CN"/>
        </w:rPr>
        <w:t xml:space="preserve">Consider </w:t>
      </w:r>
      <w:r>
        <w:rPr>
          <w:rFonts w:eastAsia="SimSun" w:hint="eastAsia"/>
          <w:lang w:eastAsia="zh-CN"/>
        </w:rPr>
        <w:t xml:space="preserve">the proposed revision of the </w:t>
      </w:r>
      <w:r>
        <w:rPr>
          <w:rFonts w:eastAsia="SimSun"/>
          <w:lang w:eastAsia="zh-CN"/>
        </w:rPr>
        <w:t>Recommendation</w:t>
      </w:r>
      <w:r>
        <w:rPr>
          <w:rFonts w:eastAsia="SimSun" w:hint="eastAsia"/>
          <w:lang w:eastAsia="zh-CN"/>
        </w:rPr>
        <w:t>.</w:t>
      </w:r>
    </w:p>
    <w:p w:rsidR="00815D49" w:rsidRDefault="00815D49" w:rsidP="00815D49">
      <w:pPr>
        <w:pStyle w:val="List1"/>
        <w:numPr>
          <w:ilvl w:val="0"/>
          <w:numId w:val="0"/>
        </w:numPr>
        <w:ind w:left="567"/>
      </w:pPr>
    </w:p>
    <w:p w:rsidR="00815D49" w:rsidRDefault="00815D49" w:rsidP="00815D49">
      <w:pPr>
        <w:pStyle w:val="List1"/>
        <w:numPr>
          <w:ilvl w:val="0"/>
          <w:numId w:val="0"/>
        </w:numPr>
        <w:ind w:left="567" w:hanging="567"/>
      </w:pPr>
    </w:p>
    <w:p w:rsidR="00815D49" w:rsidRDefault="00815D49" w:rsidP="00815D49">
      <w:pPr>
        <w:pStyle w:val="List1"/>
        <w:numPr>
          <w:ilvl w:val="0"/>
          <w:numId w:val="0"/>
        </w:numPr>
        <w:ind w:left="567" w:hanging="567"/>
      </w:pPr>
    </w:p>
    <w:p w:rsidR="00815D49" w:rsidRDefault="00815D49" w:rsidP="00815D49">
      <w:pPr>
        <w:pStyle w:val="Annex"/>
        <w:sectPr w:rsidR="00815D49" w:rsidSect="0082480E">
          <w:footerReference w:type="default" r:id="rId10"/>
          <w:pgSz w:w="11906" w:h="16838"/>
          <w:pgMar w:top="1134" w:right="1134" w:bottom="1134" w:left="1134" w:header="709" w:footer="709" w:gutter="0"/>
          <w:cols w:space="708"/>
          <w:docGrid w:linePitch="360"/>
        </w:sectPr>
      </w:pPr>
    </w:p>
    <w:p w:rsidR="00815D49" w:rsidRDefault="00815D49" w:rsidP="00815D49">
      <w:pPr>
        <w:pStyle w:val="Annex"/>
      </w:pPr>
      <w:r>
        <w:rPr>
          <w:rFonts w:hint="eastAsia"/>
          <w:lang w:eastAsia="zh-CN"/>
        </w:rPr>
        <w:lastRenderedPageBreak/>
        <w:t xml:space="preserve">CoMMENTS FOR THE </w:t>
      </w:r>
      <w:r>
        <w:rPr>
          <w:lang w:eastAsia="zh-CN"/>
        </w:rPr>
        <w:t>recommendation</w:t>
      </w:r>
      <w:r>
        <w:rPr>
          <w:rFonts w:hint="eastAsia"/>
          <w:lang w:eastAsia="zh-CN"/>
        </w:rPr>
        <w:t xml:space="preserve"> V-128 EDITION 4 (DRAFT)</w:t>
      </w:r>
    </w:p>
    <w:tbl>
      <w:tblPr>
        <w:tblW w:w="13940" w:type="dxa"/>
        <w:tblInd w:w="101" w:type="dxa"/>
        <w:tblLook w:val="04A0" w:firstRow="1" w:lastRow="0" w:firstColumn="1" w:lastColumn="0" w:noHBand="0" w:noVBand="1"/>
      </w:tblPr>
      <w:tblGrid>
        <w:gridCol w:w="716"/>
        <w:gridCol w:w="1701"/>
        <w:gridCol w:w="4936"/>
        <w:gridCol w:w="6587"/>
      </w:tblGrid>
      <w:tr w:rsidR="00815D49" w:rsidRPr="00A72D69" w:rsidTr="001D6EFB">
        <w:trPr>
          <w:trHeight w:val="63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center"/>
              <w:rPr>
                <w:rFonts w:ascii="Times New Roman" w:hAnsi="Times New Roman" w:cs="Times New Roman"/>
                <w:b/>
                <w:bCs/>
                <w:sz w:val="24"/>
                <w:szCs w:val="24"/>
                <w:lang w:val="en-US" w:eastAsia="zh-CN"/>
              </w:rPr>
            </w:pPr>
            <w:r w:rsidRPr="00A72D69">
              <w:rPr>
                <w:rFonts w:ascii="Times New Roman" w:hAnsi="Times New Roman" w:cs="Times New Roman"/>
                <w:b/>
                <w:bCs/>
                <w:sz w:val="24"/>
                <w:szCs w:val="24"/>
                <w:lang w:val="en-US" w:eastAsia="zh-CN"/>
              </w:rPr>
              <w:t>No.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15D49" w:rsidRPr="00A72D69" w:rsidRDefault="00815D49" w:rsidP="001D6EFB">
            <w:pPr>
              <w:jc w:val="center"/>
              <w:rPr>
                <w:rFonts w:ascii="Times New Roman" w:hAnsi="Times New Roman" w:cs="Times New Roman"/>
                <w:b/>
                <w:bCs/>
                <w:sz w:val="24"/>
                <w:szCs w:val="24"/>
                <w:lang w:val="en-US" w:eastAsia="zh-CN"/>
              </w:rPr>
            </w:pPr>
            <w:r w:rsidRPr="00A72D69">
              <w:rPr>
                <w:rFonts w:ascii="Times New Roman" w:hAnsi="Times New Roman" w:cs="Times New Roman"/>
                <w:b/>
                <w:bCs/>
                <w:sz w:val="24"/>
                <w:szCs w:val="24"/>
                <w:lang w:val="en-US" w:eastAsia="zh-CN"/>
              </w:rPr>
              <w:t>Paragraph No. in the Draft</w:t>
            </w:r>
          </w:p>
        </w:tc>
        <w:tc>
          <w:tcPr>
            <w:tcW w:w="4936" w:type="dxa"/>
            <w:tcBorders>
              <w:top w:val="single" w:sz="4" w:space="0" w:color="auto"/>
              <w:left w:val="nil"/>
              <w:bottom w:val="single" w:sz="4" w:space="0" w:color="auto"/>
              <w:right w:val="single" w:sz="4" w:space="0" w:color="auto"/>
            </w:tcBorders>
            <w:shd w:val="clear" w:color="auto" w:fill="auto"/>
            <w:vAlign w:val="center"/>
            <w:hideMark/>
          </w:tcPr>
          <w:p w:rsidR="00815D49" w:rsidRPr="00A72D69" w:rsidRDefault="00815D49" w:rsidP="001D6EFB">
            <w:pPr>
              <w:jc w:val="center"/>
              <w:rPr>
                <w:rFonts w:ascii="Times New Roman" w:hAnsi="Times New Roman" w:cs="Times New Roman"/>
                <w:b/>
                <w:bCs/>
                <w:sz w:val="24"/>
                <w:szCs w:val="24"/>
                <w:lang w:val="en-US" w:eastAsia="zh-CN"/>
              </w:rPr>
            </w:pPr>
            <w:r w:rsidRPr="00A72D69">
              <w:rPr>
                <w:rFonts w:ascii="Times New Roman" w:hAnsi="Times New Roman" w:cs="Times New Roman"/>
                <w:b/>
                <w:bCs/>
                <w:sz w:val="24"/>
                <w:szCs w:val="24"/>
                <w:lang w:val="en-US" w:eastAsia="zh-CN"/>
              </w:rPr>
              <w:t>Revision Suggestion</w:t>
            </w:r>
          </w:p>
        </w:tc>
        <w:tc>
          <w:tcPr>
            <w:tcW w:w="6587" w:type="dxa"/>
            <w:tcBorders>
              <w:top w:val="single" w:sz="4" w:space="0" w:color="auto"/>
              <w:left w:val="nil"/>
              <w:bottom w:val="single" w:sz="4" w:space="0" w:color="auto"/>
              <w:right w:val="single" w:sz="4" w:space="0" w:color="auto"/>
            </w:tcBorders>
            <w:shd w:val="clear" w:color="auto" w:fill="auto"/>
            <w:vAlign w:val="center"/>
            <w:hideMark/>
          </w:tcPr>
          <w:p w:rsidR="00815D49" w:rsidRPr="00A72D69" w:rsidRDefault="00815D49" w:rsidP="001D6EFB">
            <w:pPr>
              <w:jc w:val="center"/>
              <w:rPr>
                <w:rFonts w:ascii="Times New Roman" w:hAnsi="Times New Roman" w:cs="Times New Roman"/>
                <w:b/>
                <w:bCs/>
                <w:sz w:val="24"/>
                <w:szCs w:val="24"/>
                <w:lang w:val="en-US" w:eastAsia="zh-CN"/>
              </w:rPr>
            </w:pPr>
            <w:r w:rsidRPr="00A72D69">
              <w:rPr>
                <w:rFonts w:ascii="Times New Roman" w:hAnsi="Times New Roman" w:cs="Times New Roman"/>
                <w:b/>
                <w:bCs/>
                <w:sz w:val="24"/>
                <w:szCs w:val="24"/>
                <w:lang w:val="en-US" w:eastAsia="zh-CN"/>
              </w:rPr>
              <w:t>Comments</w:t>
            </w:r>
          </w:p>
        </w:tc>
      </w:tr>
      <w:tr w:rsidR="00815D49" w:rsidRPr="00A72D69" w:rsidTr="001D6EFB">
        <w:trPr>
          <w:trHeight w:val="2205"/>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1</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1.4.7.3 Wind Considerations</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 xml:space="preserve">In </w:t>
            </w:r>
            <w:r w:rsidRPr="000721F1">
              <w:rPr>
                <w:rFonts w:ascii="Times New Roman" w:hAnsi="Times New Roman" w:cs="Times New Roman"/>
                <w:sz w:val="24"/>
                <w:szCs w:val="24"/>
                <w:lang w:val="en-US" w:eastAsia="zh-CN"/>
              </w:rPr>
              <w:t>the last</w:t>
            </w:r>
            <w:r w:rsidRPr="00A72D69">
              <w:rPr>
                <w:rFonts w:ascii="Times New Roman" w:hAnsi="Times New Roman" w:cs="Times New Roman"/>
                <w:sz w:val="24"/>
                <w:szCs w:val="24"/>
                <w:lang w:val="en-US" w:eastAsia="zh-CN"/>
              </w:rPr>
              <w:t xml:space="preserve"> paragraph of section 1.4.7.3.1, add “However, If available, </w:t>
            </w:r>
            <w:r w:rsidRPr="000721F1">
              <w:rPr>
                <w:rFonts w:ascii="Times New Roman" w:hAnsi="Times New Roman" w:cs="Times New Roman"/>
                <w:sz w:val="24"/>
                <w:szCs w:val="24"/>
                <w:lang w:val="en-US" w:eastAsia="zh-CN"/>
              </w:rPr>
              <w:t>the specification</w:t>
            </w:r>
            <w:r w:rsidRPr="00A72D69">
              <w:rPr>
                <w:rFonts w:ascii="Times New Roman" w:hAnsi="Times New Roman" w:cs="Times New Roman"/>
                <w:sz w:val="24"/>
                <w:szCs w:val="24"/>
                <w:lang w:val="en-US" w:eastAsia="zh-CN"/>
              </w:rPr>
              <w:t xml:space="preserve"> of maximum vertical wind for radar antenna should be provided.” </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bookmarkStart w:id="1" w:name="RANGE!D3"/>
            <w:r w:rsidRPr="00A72D69">
              <w:rPr>
                <w:rFonts w:ascii="Times New Roman" w:hAnsi="Times New Roman" w:cs="Times New Roman"/>
                <w:sz w:val="24"/>
                <w:szCs w:val="24"/>
                <w:lang w:val="en-US" w:eastAsia="zh-CN"/>
              </w:rPr>
              <w:t>The specifications for radar antennae include both survival wind speed and operational wind speed. Generally, the survival wind speed is over 70m/s, while operational wind speed is over 45m/s. In general, wind speed means maximum wind limits in the horizontal plane. It has happened at some radar sites where the radar antennae fell down while the wind speed is less than 45m/s. The investigation shows that the main reason for the falling is vertical wind. The wind resistance level in the vertical direction has been improved by using bigger fixed bolts. For the safety of radar antennas, it is recommended that radar antennae producers should mark the wind specifications of vertical wind.</w:t>
            </w:r>
            <w:bookmarkEnd w:id="1"/>
          </w:p>
        </w:tc>
      </w:tr>
      <w:tr w:rsidR="00815D49" w:rsidRPr="00A72D69" w:rsidTr="001D6EFB">
        <w:trPr>
          <w:trHeight w:val="1575"/>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2</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2.5.7.2 Probability of Detection and False Alarm Rate</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In the sentence "The optimal false alarm rates for VTS applications normally lie in the range from 10</w:t>
            </w:r>
            <w:r w:rsidRPr="00A72D69">
              <w:rPr>
                <w:rFonts w:ascii="Times New Roman" w:hAnsi="Times New Roman" w:cs="Times New Roman"/>
                <w:sz w:val="24"/>
                <w:szCs w:val="24"/>
                <w:vertAlign w:val="superscript"/>
                <w:lang w:val="en-US" w:eastAsia="zh-CN"/>
              </w:rPr>
              <w:t>-4</w:t>
            </w:r>
            <w:r w:rsidRPr="00A72D69">
              <w:rPr>
                <w:rFonts w:ascii="Times New Roman" w:hAnsi="Times New Roman" w:cs="Times New Roman"/>
                <w:sz w:val="24"/>
                <w:szCs w:val="24"/>
                <w:lang w:val="en-US" w:eastAsia="zh-CN"/>
              </w:rPr>
              <w:t xml:space="preserve"> to 10</w:t>
            </w:r>
            <w:r w:rsidRPr="00A72D69">
              <w:rPr>
                <w:rFonts w:ascii="Times New Roman" w:hAnsi="Times New Roman" w:cs="Times New Roman"/>
                <w:sz w:val="24"/>
                <w:szCs w:val="24"/>
                <w:vertAlign w:val="superscript"/>
                <w:lang w:val="en-US" w:eastAsia="zh-CN"/>
              </w:rPr>
              <w:t>-5</w:t>
            </w:r>
            <w:r w:rsidRPr="00A72D69">
              <w:rPr>
                <w:rFonts w:ascii="Times New Roman" w:hAnsi="Times New Roman" w:cs="Times New Roman"/>
                <w:sz w:val="24"/>
                <w:szCs w:val="24"/>
                <w:lang w:val="en-US" w:eastAsia="zh-CN"/>
              </w:rPr>
              <w:t xml:space="preserve"> for </w:t>
            </w:r>
            <w:r w:rsidRPr="000721F1">
              <w:rPr>
                <w:rFonts w:ascii="Times New Roman" w:hAnsi="Times New Roman" w:cs="Times New Roman"/>
                <w:sz w:val="24"/>
                <w:szCs w:val="24"/>
                <w:lang w:val="en-US" w:eastAsia="zh-CN"/>
              </w:rPr>
              <w:t>the radar</w:t>
            </w:r>
            <w:r w:rsidRPr="00A72D69">
              <w:rPr>
                <w:rFonts w:ascii="Times New Roman" w:hAnsi="Times New Roman" w:cs="Times New Roman"/>
                <w:sz w:val="24"/>
                <w:szCs w:val="24"/>
                <w:lang w:val="en-US" w:eastAsia="zh-CN"/>
              </w:rPr>
              <w:t xml:space="preserve"> video display.</w:t>
            </w:r>
            <w:proofErr w:type="gramStart"/>
            <w:r w:rsidRPr="00A72D69">
              <w:rPr>
                <w:rFonts w:ascii="Times New Roman" w:hAnsi="Times New Roman" w:cs="Times New Roman"/>
                <w:sz w:val="24"/>
                <w:szCs w:val="24"/>
                <w:lang w:val="en-US" w:eastAsia="zh-CN"/>
              </w:rPr>
              <w:t>",</w:t>
            </w:r>
            <w:proofErr w:type="gramEnd"/>
            <w:r w:rsidRPr="00A72D69">
              <w:rPr>
                <w:rFonts w:ascii="Times New Roman" w:hAnsi="Times New Roman" w:cs="Times New Roman"/>
                <w:sz w:val="24"/>
                <w:szCs w:val="24"/>
                <w:lang w:val="en-US" w:eastAsia="zh-CN"/>
              </w:rPr>
              <w:t xml:space="preserve"> change 10</w:t>
            </w:r>
            <w:r w:rsidRPr="00A72D69">
              <w:rPr>
                <w:rFonts w:ascii="Times New Roman" w:hAnsi="Times New Roman" w:cs="Times New Roman"/>
                <w:sz w:val="24"/>
                <w:szCs w:val="24"/>
                <w:vertAlign w:val="superscript"/>
                <w:lang w:val="en-US" w:eastAsia="zh-CN"/>
              </w:rPr>
              <w:t>-5</w:t>
            </w:r>
            <w:r w:rsidRPr="00A72D69">
              <w:rPr>
                <w:rFonts w:ascii="Times New Roman" w:hAnsi="Times New Roman" w:cs="Times New Roman"/>
                <w:sz w:val="24"/>
                <w:szCs w:val="24"/>
                <w:lang w:val="en-US" w:eastAsia="zh-CN"/>
              </w:rPr>
              <w:t xml:space="preserve"> to 10</w:t>
            </w:r>
            <w:r w:rsidRPr="00A72D69">
              <w:rPr>
                <w:rFonts w:ascii="Times New Roman" w:hAnsi="Times New Roman" w:cs="Times New Roman"/>
                <w:sz w:val="24"/>
                <w:szCs w:val="24"/>
                <w:vertAlign w:val="superscript"/>
                <w:lang w:val="en-US" w:eastAsia="zh-CN"/>
              </w:rPr>
              <w:t xml:space="preserve">-6 </w:t>
            </w:r>
            <w:r w:rsidRPr="00A72D69">
              <w:rPr>
                <w:rFonts w:ascii="Times New Roman" w:hAnsi="Times New Roman" w:cs="Times New Roman"/>
                <w:sz w:val="24"/>
                <w:szCs w:val="24"/>
                <w:lang w:val="en-US" w:eastAsia="zh-CN"/>
              </w:rPr>
              <w:t xml:space="preserve"> .</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According to the engineering experience, the range for the optimal alarm rates is too small.</w:t>
            </w:r>
          </w:p>
        </w:tc>
      </w:tr>
      <w:tr w:rsidR="00815D49" w:rsidRPr="00A72D69" w:rsidTr="001D6EFB">
        <w:trPr>
          <w:trHeight w:val="945"/>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3</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2.5.10.2</w:t>
            </w:r>
            <w:r w:rsidRPr="00A72D69">
              <w:rPr>
                <w:rFonts w:ascii="Times New Roman" w:hAnsi="Times New Roman" w:cs="Times New Roman"/>
                <w:sz w:val="24"/>
                <w:szCs w:val="24"/>
                <w:lang w:val="en-US" w:eastAsia="zh-CN"/>
              </w:rPr>
              <w:br/>
              <w:t>Target Accuracy</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 xml:space="preserve">At the end of the paragraph “Warning”, add “If the above land area is not available, the measurement of accuracy should be carried out in the calm sea area.” </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 xml:space="preserve">In some cases, it is difficult to find the land area. China MSA usually use the fixed target and small fish boat mounted with reflector on the calm sea to test accuracy. </w:t>
            </w:r>
          </w:p>
        </w:tc>
      </w:tr>
      <w:tr w:rsidR="00815D49" w:rsidRPr="00A72D69" w:rsidTr="001D6EFB">
        <w:trPr>
          <w:trHeight w:val="945"/>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4</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3.5.1  Support to the VTS Traffic Image</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 xml:space="preserve">At the end of </w:t>
            </w:r>
            <w:r w:rsidRPr="000721F1">
              <w:rPr>
                <w:rFonts w:ascii="Times New Roman" w:hAnsi="Times New Roman" w:cs="Times New Roman"/>
                <w:sz w:val="24"/>
                <w:szCs w:val="24"/>
                <w:lang w:val="en-US" w:eastAsia="zh-CN"/>
              </w:rPr>
              <w:t>section 3.5.1.4</w:t>
            </w:r>
            <w:r w:rsidRPr="00A72D69">
              <w:rPr>
                <w:rFonts w:ascii="Times New Roman" w:hAnsi="Times New Roman" w:cs="Times New Roman"/>
                <w:sz w:val="24"/>
                <w:szCs w:val="24"/>
                <w:lang w:val="en-US" w:eastAsia="zh-CN"/>
              </w:rPr>
              <w:t>, add “Note, the corruption of position data may include the wrong timestamp."</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bookmarkStart w:id="2" w:name="RANGE!D6"/>
            <w:r w:rsidRPr="00A72D69">
              <w:rPr>
                <w:rFonts w:ascii="Times New Roman" w:hAnsi="Times New Roman" w:cs="Times New Roman"/>
                <w:sz w:val="24"/>
                <w:szCs w:val="24"/>
                <w:lang w:val="en-US" w:eastAsia="zh-CN"/>
              </w:rPr>
              <w:t xml:space="preserve">The fusion of </w:t>
            </w:r>
            <w:r w:rsidRPr="000721F1">
              <w:rPr>
                <w:rFonts w:ascii="Times New Roman" w:hAnsi="Times New Roman" w:cs="Times New Roman"/>
                <w:sz w:val="24"/>
                <w:szCs w:val="24"/>
                <w:lang w:val="en-US" w:eastAsia="zh-CN"/>
              </w:rPr>
              <w:t>AIS and</w:t>
            </w:r>
            <w:r w:rsidRPr="00A72D69">
              <w:rPr>
                <w:rFonts w:ascii="Times New Roman" w:hAnsi="Times New Roman" w:cs="Times New Roman"/>
                <w:sz w:val="24"/>
                <w:szCs w:val="24"/>
                <w:lang w:val="en-US" w:eastAsia="zh-CN"/>
              </w:rPr>
              <w:t xml:space="preserve"> VTS tracks need of the information of timestamps. But the timestamp of AIS message has the possibility of being wrong or destroyed, which results in the unsuccessful fusion.</w:t>
            </w:r>
            <w:bookmarkEnd w:id="2"/>
          </w:p>
        </w:tc>
      </w:tr>
      <w:tr w:rsidR="00815D49" w:rsidRPr="00A72D69" w:rsidTr="001D6EFB">
        <w:trPr>
          <w:trHeight w:val="1260"/>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5</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4.1</w:t>
            </w:r>
            <w:r w:rsidRPr="00A72D69">
              <w:rPr>
                <w:rFonts w:ascii="Times New Roman" w:hAnsi="Times New Roman" w:cs="Times New Roman"/>
                <w:sz w:val="24"/>
                <w:szCs w:val="24"/>
                <w:lang w:val="en-US" w:eastAsia="zh-CN"/>
              </w:rPr>
              <w:br/>
              <w:t>Introduction</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 xml:space="preserve">Typical meteorological parameters are those provided by weather stations and include air temperature and humidity, wind velocity and direction, and visibility. It is suggested to add rainfall and air pressure, and to specify the </w:t>
            </w:r>
            <w:r w:rsidRPr="00A72D69">
              <w:rPr>
                <w:rFonts w:ascii="Times New Roman" w:hAnsi="Times New Roman" w:cs="Times New Roman"/>
                <w:sz w:val="24"/>
                <w:szCs w:val="24"/>
                <w:lang w:val="en-US" w:eastAsia="zh-CN"/>
              </w:rPr>
              <w:lastRenderedPageBreak/>
              <w:t>specification requirements.</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lastRenderedPageBreak/>
              <w:t>In some weather stations, the measurements of rainfall and air pressure are available and needed for the operation of VTS.</w:t>
            </w:r>
          </w:p>
        </w:tc>
      </w:tr>
      <w:tr w:rsidR="00815D49" w:rsidRPr="00A72D69" w:rsidTr="001D6EFB">
        <w:trPr>
          <w:trHeight w:val="1260"/>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lastRenderedPageBreak/>
              <w:t>6</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6.2.2</w:t>
            </w:r>
            <w:r w:rsidRPr="00A72D69">
              <w:rPr>
                <w:rFonts w:ascii="Times New Roman" w:hAnsi="Times New Roman" w:cs="Times New Roman"/>
                <w:sz w:val="24"/>
                <w:szCs w:val="24"/>
                <w:lang w:val="en-US" w:eastAsia="zh-CN"/>
              </w:rPr>
              <w:br/>
              <w:t>Bearing Accuracy</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In Table 22, change the advanced level from 2 degree to 1 degree.</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The requirement is too low to be applied in China, due to the large ship traffic volume and high traffic density in the coastal and inland ports of China. The RDF equipment needs to have higher bearing accuracy, and practical specification is within 1 degree.</w:t>
            </w:r>
          </w:p>
        </w:tc>
      </w:tr>
      <w:tr w:rsidR="00815D49" w:rsidRPr="00A72D69" w:rsidTr="001D6EFB">
        <w:trPr>
          <w:trHeight w:val="945"/>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7</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8.3.1</w:t>
            </w:r>
            <w:r w:rsidRPr="00A72D69">
              <w:rPr>
                <w:rFonts w:ascii="Times New Roman" w:hAnsi="Times New Roman" w:cs="Times New Roman"/>
                <w:sz w:val="24"/>
                <w:szCs w:val="24"/>
                <w:lang w:val="en-US" w:eastAsia="zh-CN"/>
              </w:rPr>
              <w:br/>
              <w:t>Coverage</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Change the unit "mile" to "nautical mile".</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It is better to use nautical mile to comply the practices and related international standards.</w:t>
            </w:r>
          </w:p>
        </w:tc>
      </w:tr>
      <w:tr w:rsidR="00815D49" w:rsidRPr="00A72D69" w:rsidTr="001D6EFB">
        <w:trPr>
          <w:trHeight w:val="945"/>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8</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8.6</w:t>
            </w:r>
            <w:r w:rsidRPr="00A72D69">
              <w:rPr>
                <w:rFonts w:ascii="Times New Roman" w:hAnsi="Times New Roman" w:cs="Times New Roman"/>
                <w:sz w:val="24"/>
                <w:szCs w:val="24"/>
                <w:lang w:val="en-US" w:eastAsia="zh-CN"/>
              </w:rPr>
              <w:br/>
              <w:t>Interfacing</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Add “if applicable, the international standards or the local standards should be adopted as possible.”</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According to the user needs of VTS systems, it is suggested that the VTS radio communication interfaces ashore should use the national standards or the internationally agreed interface standards.</w:t>
            </w:r>
          </w:p>
        </w:tc>
      </w:tr>
      <w:tr w:rsidR="00815D49" w:rsidRPr="00A72D69" w:rsidTr="001D6EFB">
        <w:trPr>
          <w:trHeight w:val="1575"/>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9</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9.4.2</w:t>
            </w:r>
            <w:r w:rsidRPr="00A72D69">
              <w:rPr>
                <w:rFonts w:ascii="Times New Roman" w:hAnsi="Times New Roman" w:cs="Times New Roman"/>
                <w:sz w:val="24"/>
                <w:szCs w:val="24"/>
                <w:lang w:val="en-US" w:eastAsia="zh-CN"/>
              </w:rPr>
              <w:br/>
              <w:t>Information Held in Databases</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For the type of database</w:t>
            </w:r>
            <w:r w:rsidRPr="000721F1">
              <w:rPr>
                <w:rFonts w:ascii="Times New Roman" w:hAnsi="Times New Roman" w:cs="Times New Roman"/>
                <w:sz w:val="24"/>
                <w:szCs w:val="24"/>
                <w:lang w:val="en-US" w:eastAsia="zh-CN"/>
              </w:rPr>
              <w:t>, add</w:t>
            </w:r>
            <w:r w:rsidRPr="00A72D69">
              <w:rPr>
                <w:rFonts w:ascii="Times New Roman" w:hAnsi="Times New Roman" w:cs="Times New Roman"/>
                <w:sz w:val="24"/>
                <w:szCs w:val="24"/>
                <w:lang w:val="en-US" w:eastAsia="zh-CN"/>
              </w:rPr>
              <w:t xml:space="preserve"> Navigation Aids database, and add shipping lane and route data in the port resources database.</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Pr>
                <w:rFonts w:ascii="Times New Roman" w:hAnsi="Times New Roman" w:cs="Times New Roman" w:hint="eastAsia"/>
                <w:sz w:val="24"/>
                <w:szCs w:val="24"/>
                <w:lang w:val="en-US" w:eastAsia="zh-CN"/>
              </w:rPr>
              <w:t>The database and data are normally required for the operation of VTS Centers.</w:t>
            </w:r>
          </w:p>
        </w:tc>
      </w:tr>
      <w:tr w:rsidR="00815D49" w:rsidRPr="00A72D69" w:rsidTr="001D6EFB">
        <w:trPr>
          <w:trHeight w:val="945"/>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10</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9.4 Management of VTS Data</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Add a new section 9.4.3 interface to describe the internal interface among subsystems of VTS.</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 xml:space="preserve">For the VTS systems, a large number of private interfaces </w:t>
            </w:r>
            <w:proofErr w:type="gramStart"/>
            <w:r w:rsidRPr="00A72D69">
              <w:rPr>
                <w:rFonts w:ascii="Times New Roman" w:hAnsi="Times New Roman" w:cs="Times New Roman"/>
                <w:sz w:val="24"/>
                <w:szCs w:val="24"/>
                <w:lang w:val="en-US" w:eastAsia="zh-CN"/>
              </w:rPr>
              <w:t>is</w:t>
            </w:r>
            <w:proofErr w:type="gramEnd"/>
            <w:r w:rsidRPr="00A72D69">
              <w:rPr>
                <w:rFonts w:ascii="Times New Roman" w:hAnsi="Times New Roman" w:cs="Times New Roman"/>
                <w:sz w:val="24"/>
                <w:szCs w:val="24"/>
                <w:lang w:val="en-US" w:eastAsia="zh-CN"/>
              </w:rPr>
              <w:t xml:space="preserve"> often used among subsystems or modules. It would be beneficial for VTS authorities to have these interface descriptions for the maintenance.</w:t>
            </w:r>
          </w:p>
        </w:tc>
      </w:tr>
      <w:tr w:rsidR="00815D49" w:rsidRPr="00A72D69" w:rsidTr="001D6EFB">
        <w:trPr>
          <w:trHeight w:val="1260"/>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11</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10.3.2.2</w:t>
            </w:r>
            <w:r w:rsidRPr="00A72D69">
              <w:rPr>
                <w:rFonts w:ascii="Times New Roman" w:hAnsi="Times New Roman" w:cs="Times New Roman"/>
                <w:sz w:val="24"/>
                <w:szCs w:val="24"/>
                <w:lang w:val="en-US" w:eastAsia="zh-CN"/>
              </w:rPr>
              <w:br/>
              <w:t>Vessel presentation</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After the first sentence of Section 10.3.2.2</w:t>
            </w:r>
            <w:r w:rsidRPr="000721F1">
              <w:rPr>
                <w:rFonts w:ascii="Times New Roman" w:hAnsi="Times New Roman" w:cs="Times New Roman"/>
                <w:sz w:val="24"/>
                <w:szCs w:val="24"/>
                <w:lang w:val="en-US" w:eastAsia="zh-CN"/>
              </w:rPr>
              <w:t>, add</w:t>
            </w:r>
            <w:r w:rsidRPr="00A72D69">
              <w:rPr>
                <w:rFonts w:ascii="Times New Roman" w:hAnsi="Times New Roman" w:cs="Times New Roman"/>
                <w:sz w:val="24"/>
                <w:szCs w:val="24"/>
                <w:lang w:val="en-US" w:eastAsia="zh-CN"/>
              </w:rPr>
              <w:t xml:space="preserve"> “According to the requirements of the VTS authority, the vessel presentation should use different symbols to display according to the type of the vessel.”</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For VTS providing TOS, it is necessary to display different vessel types with different symbols' to facilitate the traffic organization, and most VTS systems have the ability to configure the symbol to be displayed for each kind of track.</w:t>
            </w:r>
          </w:p>
        </w:tc>
      </w:tr>
      <w:tr w:rsidR="00815D49" w:rsidRPr="00A72D69" w:rsidTr="001D6EFB">
        <w:trPr>
          <w:trHeight w:val="945"/>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12</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11.4.2.2 CPA/TCPA</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At the end of section, add "According to the requirements of VTSO, the system</w:t>
            </w:r>
            <w:r w:rsidRPr="000721F1">
              <w:rPr>
                <w:rFonts w:ascii="Times New Roman" w:hAnsi="Times New Roman" w:cs="Times New Roman"/>
                <w:sz w:val="24"/>
                <w:szCs w:val="24"/>
                <w:lang w:val="en-US" w:eastAsia="zh-CN"/>
              </w:rPr>
              <w:t xml:space="preserve"> should be able to display, for</w:t>
            </w:r>
            <w:r w:rsidRPr="000721F1">
              <w:rPr>
                <w:rFonts w:ascii="Times New Roman" w:hAnsi="Times New Roman" w:cs="Times New Roman" w:hint="eastAsia"/>
                <w:sz w:val="24"/>
                <w:szCs w:val="24"/>
                <w:lang w:val="en-US" w:eastAsia="zh-CN"/>
              </w:rPr>
              <w:t xml:space="preserve"> </w:t>
            </w:r>
            <w:r w:rsidRPr="000721F1">
              <w:rPr>
                <w:rFonts w:ascii="Times New Roman" w:hAnsi="Times New Roman" w:cs="Times New Roman"/>
                <w:sz w:val="24"/>
                <w:szCs w:val="24"/>
                <w:lang w:val="en-US" w:eastAsia="zh-CN"/>
              </w:rPr>
              <w:t>specified vessel</w:t>
            </w:r>
            <w:r w:rsidRPr="00A72D69">
              <w:rPr>
                <w:rFonts w:ascii="Times New Roman" w:hAnsi="Times New Roman" w:cs="Times New Roman"/>
                <w:sz w:val="24"/>
                <w:szCs w:val="24"/>
                <w:lang w:val="en-US" w:eastAsia="zh-CN"/>
              </w:rPr>
              <w:t xml:space="preserve">, all vessels </w:t>
            </w:r>
            <w:r w:rsidRPr="00A72D69">
              <w:rPr>
                <w:rFonts w:ascii="Times New Roman" w:hAnsi="Times New Roman" w:cs="Times New Roman"/>
                <w:sz w:val="24"/>
                <w:szCs w:val="24"/>
                <w:lang w:val="en-US" w:eastAsia="zh-CN"/>
              </w:rPr>
              <w:lastRenderedPageBreak/>
              <w:t>and obstacles which have possibility of collision.”</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lastRenderedPageBreak/>
              <w:t xml:space="preserve">For some vessels, such as LNG </w:t>
            </w:r>
            <w:r w:rsidRPr="000721F1">
              <w:rPr>
                <w:rFonts w:ascii="Times New Roman" w:hAnsi="Times New Roman" w:cs="Times New Roman"/>
                <w:sz w:val="24"/>
                <w:szCs w:val="24"/>
                <w:lang w:val="en-US" w:eastAsia="zh-CN"/>
              </w:rPr>
              <w:t>carrier</w:t>
            </w:r>
            <w:r w:rsidRPr="000721F1">
              <w:rPr>
                <w:rFonts w:ascii="Times New Roman" w:hAnsi="Times New Roman" w:cs="Times New Roman" w:hint="eastAsia"/>
                <w:sz w:val="24"/>
                <w:szCs w:val="24"/>
                <w:lang w:val="en-US" w:eastAsia="zh-CN"/>
              </w:rPr>
              <w:t>s</w:t>
            </w:r>
            <w:r w:rsidRPr="000721F1">
              <w:rPr>
                <w:rFonts w:ascii="Times New Roman" w:hAnsi="Times New Roman" w:cs="Times New Roman"/>
                <w:sz w:val="24"/>
                <w:szCs w:val="24"/>
                <w:lang w:val="en-US" w:eastAsia="zh-CN"/>
              </w:rPr>
              <w:t>, needs</w:t>
            </w:r>
            <w:r w:rsidRPr="00A72D69">
              <w:rPr>
                <w:rFonts w:ascii="Times New Roman" w:hAnsi="Times New Roman" w:cs="Times New Roman"/>
                <w:sz w:val="24"/>
                <w:szCs w:val="24"/>
                <w:lang w:val="en-US" w:eastAsia="zh-CN"/>
              </w:rPr>
              <w:t xml:space="preserve"> special attention during the traffic monitoring.</w:t>
            </w:r>
          </w:p>
        </w:tc>
      </w:tr>
      <w:tr w:rsidR="00815D49" w:rsidRPr="00A72D69" w:rsidTr="001D6EFB">
        <w:trPr>
          <w:trHeight w:val="1260"/>
        </w:trPr>
        <w:tc>
          <w:tcPr>
            <w:tcW w:w="716" w:type="dxa"/>
            <w:tcBorders>
              <w:top w:val="nil"/>
              <w:left w:val="single" w:sz="4" w:space="0" w:color="auto"/>
              <w:bottom w:val="single" w:sz="4" w:space="0" w:color="auto"/>
              <w:right w:val="single" w:sz="4" w:space="0" w:color="auto"/>
            </w:tcBorders>
            <w:shd w:val="clear" w:color="auto" w:fill="auto"/>
            <w:vAlign w:val="center"/>
            <w:hideMark/>
          </w:tcPr>
          <w:p w:rsidR="00815D49" w:rsidRPr="00A72D69" w:rsidRDefault="00815D49" w:rsidP="001D6EFB">
            <w:pPr>
              <w:jc w:val="right"/>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lastRenderedPageBreak/>
              <w:t>13</w:t>
            </w:r>
          </w:p>
        </w:tc>
        <w:tc>
          <w:tcPr>
            <w:tcW w:w="1701"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13.3.3 Installation and Site Acceptance (SAT)</w:t>
            </w:r>
          </w:p>
        </w:tc>
        <w:tc>
          <w:tcPr>
            <w:tcW w:w="4936"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 xml:space="preserve">In the third paragraph, after “all supporting documentation is available", add "including the description of all interface.” </w:t>
            </w:r>
          </w:p>
        </w:tc>
        <w:tc>
          <w:tcPr>
            <w:tcW w:w="6587" w:type="dxa"/>
            <w:tcBorders>
              <w:top w:val="nil"/>
              <w:left w:val="nil"/>
              <w:bottom w:val="single" w:sz="4" w:space="0" w:color="auto"/>
              <w:right w:val="single" w:sz="4" w:space="0" w:color="auto"/>
            </w:tcBorders>
            <w:shd w:val="clear" w:color="auto" w:fill="auto"/>
            <w:vAlign w:val="center"/>
            <w:hideMark/>
          </w:tcPr>
          <w:p w:rsidR="00815D49" w:rsidRPr="00A72D69" w:rsidRDefault="00815D49" w:rsidP="001D6EFB">
            <w:pPr>
              <w:rPr>
                <w:rFonts w:ascii="Times New Roman" w:hAnsi="Times New Roman" w:cs="Times New Roman"/>
                <w:sz w:val="24"/>
                <w:szCs w:val="24"/>
                <w:lang w:val="en-US" w:eastAsia="zh-CN"/>
              </w:rPr>
            </w:pPr>
            <w:r w:rsidRPr="00A72D69">
              <w:rPr>
                <w:rFonts w:ascii="Times New Roman" w:hAnsi="Times New Roman" w:cs="Times New Roman"/>
                <w:sz w:val="24"/>
                <w:szCs w:val="24"/>
                <w:lang w:val="en-US" w:eastAsia="zh-CN"/>
              </w:rPr>
              <w:t xml:space="preserve">For the VTS systems, a large number of private interfaces </w:t>
            </w:r>
            <w:r w:rsidRPr="000721F1">
              <w:rPr>
                <w:rFonts w:ascii="Times New Roman" w:hAnsi="Times New Roman" w:cs="Times New Roman" w:hint="eastAsia"/>
                <w:sz w:val="24"/>
                <w:szCs w:val="24"/>
                <w:lang w:val="en-US" w:eastAsia="zh-CN"/>
              </w:rPr>
              <w:t>are</w:t>
            </w:r>
            <w:r w:rsidRPr="00A72D69">
              <w:rPr>
                <w:rFonts w:ascii="Times New Roman" w:hAnsi="Times New Roman" w:cs="Times New Roman"/>
                <w:sz w:val="24"/>
                <w:szCs w:val="24"/>
                <w:lang w:val="en-US" w:eastAsia="zh-CN"/>
              </w:rPr>
              <w:t xml:space="preserve"> often used among subsystems or modules.</w:t>
            </w:r>
          </w:p>
        </w:tc>
      </w:tr>
    </w:tbl>
    <w:p w:rsidR="00815D49" w:rsidRPr="00A72D69" w:rsidRDefault="00815D49" w:rsidP="00815D49">
      <w:pPr>
        <w:pStyle w:val="BodyText"/>
        <w:rPr>
          <w:lang w:val="en-US"/>
        </w:rPr>
      </w:pPr>
    </w:p>
    <w:p w:rsidR="00815D49" w:rsidRPr="004D1D85" w:rsidRDefault="00815D49" w:rsidP="00815D49">
      <w:pPr>
        <w:pStyle w:val="BodyText"/>
      </w:pPr>
    </w:p>
    <w:p w:rsidR="004D1D85" w:rsidRPr="00815D49" w:rsidRDefault="004D1D85" w:rsidP="004D1D85">
      <w:pPr>
        <w:pStyle w:val="List1"/>
        <w:numPr>
          <w:ilvl w:val="0"/>
          <w:numId w:val="0"/>
        </w:numPr>
        <w:ind w:left="567" w:hanging="567"/>
      </w:pPr>
    </w:p>
    <w:p w:rsidR="004D1D85" w:rsidRDefault="004D1D85" w:rsidP="004D1D85">
      <w:pPr>
        <w:pStyle w:val="List1"/>
        <w:numPr>
          <w:ilvl w:val="0"/>
          <w:numId w:val="0"/>
        </w:numPr>
        <w:ind w:left="567" w:hanging="567"/>
      </w:pPr>
    </w:p>
    <w:p w:rsidR="004D1D85" w:rsidRDefault="004D1D85" w:rsidP="000005D3">
      <w:pPr>
        <w:pStyle w:val="Annex"/>
        <w:sectPr w:rsidR="004D1D85" w:rsidSect="00815D49">
          <w:footerReference w:type="default" r:id="rId11"/>
          <w:pgSz w:w="16838" w:h="11906" w:orient="landscape"/>
          <w:pgMar w:top="1134" w:right="709" w:bottom="991" w:left="1134" w:header="709" w:footer="709" w:gutter="0"/>
          <w:cols w:space="708"/>
          <w:docGrid w:linePitch="360"/>
        </w:sectPr>
      </w:pPr>
    </w:p>
    <w:p w:rsidR="000005D3" w:rsidRDefault="000005D3" w:rsidP="000005D3">
      <w:pPr>
        <w:pStyle w:val="Annex"/>
      </w:pPr>
      <w:r>
        <w:lastRenderedPageBreak/>
        <w:t>........</w:t>
      </w:r>
    </w:p>
    <w:p w:rsidR="000005D3" w:rsidRDefault="000005D3" w:rsidP="000005D3">
      <w:pPr>
        <w:pStyle w:val="AnnexHeading1"/>
      </w:pPr>
      <w:r>
        <w:t>Annex Heading 1</w:t>
      </w:r>
    </w:p>
    <w:p w:rsidR="004D1D85" w:rsidRDefault="004D1D85" w:rsidP="004D1D85">
      <w:pPr>
        <w:pStyle w:val="AnnexHeading2"/>
      </w:pPr>
      <w:r>
        <w:t>Annex heading 2</w:t>
      </w:r>
    </w:p>
    <w:p w:rsidR="004D1D85" w:rsidRPr="004D1D85" w:rsidRDefault="004D1D85" w:rsidP="004D1D85">
      <w:pPr>
        <w:pStyle w:val="AnnexHeading3"/>
      </w:pPr>
      <w:r>
        <w:t>Annex heading 3</w:t>
      </w:r>
    </w:p>
    <w:p w:rsidR="004D1D85" w:rsidRDefault="004D1D85" w:rsidP="004D1D85">
      <w:pPr>
        <w:pStyle w:val="BodyText"/>
      </w:pPr>
    </w:p>
    <w:p w:rsidR="004D1D85" w:rsidRPr="004D1D85" w:rsidRDefault="004D1D85" w:rsidP="004D1D85">
      <w:pPr>
        <w:pStyle w:val="BodyText"/>
      </w:pPr>
    </w:p>
    <w:p w:rsidR="004D1D85" w:rsidRDefault="004D1D85" w:rsidP="004D1D85">
      <w:pPr>
        <w:pStyle w:val="Appendix"/>
        <w:numPr>
          <w:ilvl w:val="0"/>
          <w:numId w:val="0"/>
        </w:numPr>
        <w:sectPr w:rsidR="004D1D85" w:rsidSect="0082480E">
          <w:pgSz w:w="11906" w:h="16838"/>
          <w:pgMar w:top="1134" w:right="1134" w:bottom="1134" w:left="1134" w:header="709" w:footer="709" w:gutter="0"/>
          <w:cols w:space="708"/>
          <w:docGrid w:linePitch="360"/>
        </w:sectPr>
      </w:pPr>
    </w:p>
    <w:p w:rsidR="000005D3" w:rsidRDefault="000005D3" w:rsidP="000005D3">
      <w:pPr>
        <w:pStyle w:val="Appendix"/>
      </w:pPr>
      <w:r>
        <w:lastRenderedPageBreak/>
        <w:t>........</w:t>
      </w:r>
    </w:p>
    <w:p w:rsidR="000005D3" w:rsidRDefault="000005D3" w:rsidP="000005D3">
      <w:pPr>
        <w:pStyle w:val="AnnexHeading1"/>
        <w:numPr>
          <w:ilvl w:val="0"/>
          <w:numId w:val="42"/>
        </w:numPr>
        <w:rPr>
          <w:lang w:eastAsia="en-US"/>
        </w:rPr>
      </w:pPr>
      <w:r>
        <w:rPr>
          <w:lang w:eastAsia="en-US"/>
        </w:rPr>
        <w:t>Appendix heading 1</w:t>
      </w:r>
    </w:p>
    <w:p w:rsidR="004D1D85" w:rsidRDefault="004D1D85" w:rsidP="004D1D85">
      <w:pPr>
        <w:pStyle w:val="AnnexHeading2"/>
        <w:rPr>
          <w:lang w:eastAsia="en-US"/>
        </w:rPr>
      </w:pPr>
      <w:r>
        <w:rPr>
          <w:lang w:eastAsia="en-US"/>
        </w:rPr>
        <w:t>Appendix heading 2</w:t>
      </w:r>
    </w:p>
    <w:p w:rsidR="004D1D85" w:rsidRPr="004D1D85" w:rsidRDefault="004D1D85" w:rsidP="004D1D85">
      <w:pPr>
        <w:pStyle w:val="AnnexHeading3"/>
        <w:rPr>
          <w:lang w:eastAsia="en-US"/>
        </w:rPr>
      </w:pPr>
      <w:r>
        <w:rPr>
          <w:lang w:eastAsia="en-US"/>
        </w:rPr>
        <w:t>Appendix heading 3</w:t>
      </w:r>
    </w:p>
    <w:sectPr w:rsidR="004D1D85" w:rsidRPr="004D1D85" w:rsidSect="0082480E">
      <w:pgSz w:w="11906" w:h="16838"/>
      <w:pgMar w:top="1134" w:right="1134" w:bottom="1134" w:left="1134" w:header="709" w:footer="709" w:gutter="0"/>
      <w:cols w:space="708"/>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116" w:rsidRDefault="003B7116" w:rsidP="00362CD9">
      <w:r>
        <w:separator/>
      </w:r>
    </w:p>
  </w:endnote>
  <w:endnote w:type="continuationSeparator" w:id="0">
    <w:p w:rsidR="003B7116" w:rsidRDefault="003B711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D49" w:rsidRDefault="00815D49">
    <w:pPr>
      <w:pStyle w:val="Footer"/>
    </w:pPr>
    <w:r>
      <w:tab/>
    </w:r>
    <w:r w:rsidR="003B7116">
      <w:fldChar w:fldCharType="begin"/>
    </w:r>
    <w:r w:rsidR="003B7116">
      <w:instrText xml:space="preserve"> PAGE   \* MERGEFORMAT </w:instrText>
    </w:r>
    <w:r w:rsidR="003B7116">
      <w:fldChar w:fldCharType="separate"/>
    </w:r>
    <w:r w:rsidR="007E174E">
      <w:rPr>
        <w:noProof/>
      </w:rPr>
      <w:t>1</w:t>
    </w:r>
    <w:r w:rsidR="003B7116">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rsidR="00CA383B">
      <w:fldChar w:fldCharType="begin"/>
    </w:r>
    <w:r>
      <w:instrText xml:space="preserve"> PAGE   \* MERGEFORMAT </w:instrText>
    </w:r>
    <w:r w:rsidR="00CA383B">
      <w:fldChar w:fldCharType="separate"/>
    </w:r>
    <w:r w:rsidR="007E174E">
      <w:rPr>
        <w:noProof/>
      </w:rPr>
      <w:t>3</w:t>
    </w:r>
    <w:r w:rsidR="00CA383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116" w:rsidRDefault="003B7116" w:rsidP="00362CD9">
      <w:r>
        <w:separator/>
      </w:r>
    </w:p>
  </w:footnote>
  <w:footnote w:type="continuationSeparator" w:id="0">
    <w:p w:rsidR="003B7116" w:rsidRDefault="003B7116" w:rsidP="00362CD9">
      <w:r>
        <w:continuationSeparator/>
      </w:r>
    </w:p>
  </w:footnote>
  <w:footnote w:id="1">
    <w:p w:rsidR="00420A38" w:rsidRPr="00EA5A97" w:rsidRDefault="00420A38">
      <w:pPr>
        <w:pStyle w:val="FootnoteText"/>
        <w:rPr>
          <w:lang w:val="en-US"/>
        </w:rPr>
      </w:pPr>
      <w:r>
        <w:rPr>
          <w:rStyle w:val="FootnoteReference"/>
        </w:rPr>
        <w:footnoteRef/>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84F33"/>
    <w:rsid w:val="000A77A7"/>
    <w:rsid w:val="000B1707"/>
    <w:rsid w:val="000C1B3E"/>
    <w:rsid w:val="00177F4D"/>
    <w:rsid w:val="00180DDA"/>
    <w:rsid w:val="001B2A2D"/>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56CD0"/>
    <w:rsid w:val="00362CD9"/>
    <w:rsid w:val="003761CA"/>
    <w:rsid w:val="00380DAF"/>
    <w:rsid w:val="003B28F5"/>
    <w:rsid w:val="003B7116"/>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652C3"/>
    <w:rsid w:val="00691FD0"/>
    <w:rsid w:val="00692148"/>
    <w:rsid w:val="006C5948"/>
    <w:rsid w:val="006F2A74"/>
    <w:rsid w:val="007118F5"/>
    <w:rsid w:val="00712AA4"/>
    <w:rsid w:val="00721AA1"/>
    <w:rsid w:val="00724B67"/>
    <w:rsid w:val="007547F8"/>
    <w:rsid w:val="00765622"/>
    <w:rsid w:val="00770B6C"/>
    <w:rsid w:val="00783FEA"/>
    <w:rsid w:val="007E174E"/>
    <w:rsid w:val="0080294B"/>
    <w:rsid w:val="00815D49"/>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446C9"/>
    <w:rsid w:val="00A635D6"/>
    <w:rsid w:val="00A8553A"/>
    <w:rsid w:val="00A93AED"/>
    <w:rsid w:val="00B226F2"/>
    <w:rsid w:val="00B274DF"/>
    <w:rsid w:val="00B56BDF"/>
    <w:rsid w:val="00B65812"/>
    <w:rsid w:val="00B85CD6"/>
    <w:rsid w:val="00B90A27"/>
    <w:rsid w:val="00B9554D"/>
    <w:rsid w:val="00BB2B9F"/>
    <w:rsid w:val="00BB7D9E"/>
    <w:rsid w:val="00BD3CB8"/>
    <w:rsid w:val="00BD4E6F"/>
    <w:rsid w:val="00BF32F0"/>
    <w:rsid w:val="00BF4DCE"/>
    <w:rsid w:val="00C05CE5"/>
    <w:rsid w:val="00C6171E"/>
    <w:rsid w:val="00CA383B"/>
    <w:rsid w:val="00CA6F2C"/>
    <w:rsid w:val="00CF1871"/>
    <w:rsid w:val="00D1133E"/>
    <w:rsid w:val="00D17A34"/>
    <w:rsid w:val="00D26628"/>
    <w:rsid w:val="00D332B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51EE6-4980-4278-B273-CC051A403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1238</Words>
  <Characters>6812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2014-10-06T21:12:00Z</dcterms:created>
  <dcterms:modified xsi:type="dcterms:W3CDTF">2014-10-06T21:12:00Z</dcterms:modified>
</cp:coreProperties>
</file>