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B14A" w14:textId="69DC4DDF" w:rsidR="00F32542" w:rsidRDefault="00E126B8">
      <w:pPr>
        <w:pStyle w:val="Header"/>
        <w:tabs>
          <w:tab w:val="clear" w:pos="9639"/>
          <w:tab w:val="right" w:pos="5954"/>
        </w:tabs>
        <w:spacing w:after="240"/>
        <w:jc w:val="right"/>
      </w:pPr>
      <w:r>
        <w:rPr>
          <w:rFonts w:ascii="Calibri" w:hAnsi="Calibri"/>
        </w:rPr>
        <w:t xml:space="preserve">Input paper: </w:t>
      </w:r>
      <w:r>
        <w:rPr>
          <w:rStyle w:val="FootnoteAnchor"/>
          <w:rFonts w:ascii="Calibri" w:hAnsi="Calibri"/>
          <w:sz w:val="22"/>
        </w:rPr>
        <w:footnoteReference w:id="1"/>
      </w:r>
      <w:r>
        <w:rPr>
          <w:rFonts w:ascii="Calibri" w:hAnsi="Calibri"/>
        </w:rPr>
        <w:t xml:space="preserve">  </w:t>
      </w:r>
      <w:r w:rsidRPr="00E126B8">
        <w:rPr>
          <w:rFonts w:ascii="Calibri" w:hAnsi="Calibri"/>
        </w:rPr>
        <w:t>ENAV30-5.1.1.2</w:t>
      </w:r>
    </w:p>
    <w:p w14:paraId="103AB14B" w14:textId="77777777" w:rsidR="00F32542" w:rsidRDefault="00F32542">
      <w:pPr>
        <w:pStyle w:val="BodyText"/>
        <w:tabs>
          <w:tab w:val="left" w:pos="2835"/>
        </w:tabs>
        <w:rPr>
          <w:rFonts w:ascii="Calibri" w:hAnsi="Calibri"/>
        </w:rPr>
      </w:pPr>
    </w:p>
    <w:p w14:paraId="103AB14C" w14:textId="77777777" w:rsidR="00F32542" w:rsidRDefault="00F32542">
      <w:pPr>
        <w:pStyle w:val="BodyText"/>
        <w:tabs>
          <w:tab w:val="left" w:pos="2835"/>
        </w:tabs>
        <w:rPr>
          <w:rFonts w:ascii="Calibri" w:hAnsi="Calibri"/>
        </w:rPr>
      </w:pPr>
    </w:p>
    <w:p w14:paraId="103AB14D" w14:textId="77777777" w:rsidR="00F32542" w:rsidRDefault="00E126B8">
      <w:pPr>
        <w:pStyle w:val="BodyText"/>
        <w:tabs>
          <w:tab w:val="left" w:pos="2835"/>
        </w:tabs>
      </w:pPr>
      <w:r>
        <w:rPr>
          <w:rFonts w:ascii="Calibri" w:hAnsi="Calibri"/>
        </w:rPr>
        <w:t xml:space="preserve">Input paper for the following Committee(s): </w:t>
      </w:r>
      <w:r>
        <w:rPr>
          <w:rFonts w:ascii="Calibri" w:hAnsi="Calibri"/>
        </w:rPr>
        <w:tab/>
      </w:r>
      <w:r>
        <w:rPr>
          <w:rFonts w:ascii="Calibri" w:hAnsi="Calibri"/>
          <w:sz w:val="18"/>
          <w:szCs w:val="18"/>
        </w:rPr>
        <w:t>check as appropriate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</w:rPr>
        <w:tab/>
        <w:t>Purpose of paper:</w:t>
      </w:r>
    </w:p>
    <w:p w14:paraId="103AB14E" w14:textId="11E80336" w:rsidR="00F32542" w:rsidRDefault="00E126B8">
      <w:pPr>
        <w:pStyle w:val="BodyText"/>
        <w:tabs>
          <w:tab w:val="left" w:pos="1843"/>
        </w:tabs>
      </w:pPr>
      <w:proofErr w:type="gramStart"/>
      <w:r>
        <w:rPr>
          <w:rFonts w:ascii="Calibri" w:hAnsi="Calibri" w:cs="Arial"/>
          <w:b/>
          <w:sz w:val="24"/>
          <w:szCs w:val="24"/>
        </w:rPr>
        <w:t>□</w:t>
      </w: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</w:rPr>
        <w:t>ARM</w:t>
      </w:r>
      <w:proofErr w:type="gramEnd"/>
      <w:r>
        <w:rPr>
          <w:rFonts w:ascii="Calibri" w:hAnsi="Calibri" w:cs="Arial"/>
        </w:rPr>
        <w:tab/>
      </w:r>
      <w:r>
        <w:rPr>
          <w:rFonts w:ascii="Calibri" w:hAnsi="Calibri" w:cs="Arial"/>
          <w:b/>
          <w:sz w:val="24"/>
          <w:szCs w:val="24"/>
        </w:rPr>
        <w:t>□</w:t>
      </w: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</w:rPr>
        <w:t>ENG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  <w:sz w:val="24"/>
          <w:szCs w:val="24"/>
        </w:rPr>
        <w:t>□</w:t>
      </w: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</w:rPr>
        <w:t>PAP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□</w:t>
      </w:r>
      <w:r>
        <w:rPr>
          <w:rFonts w:ascii="Calibri" w:hAnsi="Calibri" w:cs="Arial"/>
          <w:sz w:val="24"/>
          <w:szCs w:val="24"/>
        </w:rPr>
        <w:t xml:space="preserve">  Input</w:t>
      </w:r>
    </w:p>
    <w:p w14:paraId="103AB14F" w14:textId="0CCFE9BD" w:rsidR="00F32542" w:rsidRDefault="00E126B8">
      <w:pPr>
        <w:pStyle w:val="BodyText"/>
        <w:tabs>
          <w:tab w:val="left" w:pos="1843"/>
        </w:tabs>
      </w:pPr>
      <w:proofErr w:type="gramStart"/>
      <w:r>
        <w:rPr>
          <w:rFonts w:ascii="Calibri" w:hAnsi="Calibri" w:cs="Arial"/>
          <w:b/>
          <w:sz w:val="24"/>
          <w:szCs w:val="24"/>
        </w:rPr>
        <w:t>x</w:t>
      </w: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</w:rPr>
        <w:t>ENAV</w:t>
      </w:r>
      <w:proofErr w:type="gramEnd"/>
      <w:r>
        <w:rPr>
          <w:rFonts w:ascii="Calibri" w:hAnsi="Calibri" w:cs="Arial"/>
          <w:b/>
          <w:sz w:val="24"/>
          <w:szCs w:val="24"/>
        </w:rPr>
        <w:tab/>
        <w:t>x</w:t>
      </w: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</w:rPr>
        <w:t>VTS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x</w:t>
      </w:r>
      <w:r>
        <w:rPr>
          <w:rFonts w:ascii="Calibri" w:hAnsi="Calibri" w:cs="Arial"/>
          <w:sz w:val="24"/>
          <w:szCs w:val="24"/>
        </w:rPr>
        <w:t xml:space="preserve">  Information</w:t>
      </w:r>
    </w:p>
    <w:p w14:paraId="103AB150" w14:textId="77777777" w:rsidR="00F32542" w:rsidRDefault="00F32542">
      <w:pPr>
        <w:pStyle w:val="BodyText"/>
        <w:tabs>
          <w:tab w:val="left" w:pos="2835"/>
        </w:tabs>
        <w:rPr>
          <w:rFonts w:ascii="Calibri" w:hAnsi="Calibri"/>
        </w:rPr>
      </w:pPr>
    </w:p>
    <w:p w14:paraId="103AB151" w14:textId="77777777" w:rsidR="00F32542" w:rsidRDefault="00E126B8">
      <w:pPr>
        <w:pStyle w:val="BodyText"/>
        <w:tabs>
          <w:tab w:val="left" w:pos="2835"/>
        </w:tabs>
      </w:pPr>
      <w:r>
        <w:rPr>
          <w:rFonts w:ascii="Calibri" w:hAnsi="Calibri"/>
        </w:rPr>
        <w:t xml:space="preserve">Agenda item </w:t>
      </w:r>
      <w:r>
        <w:rPr>
          <w:rStyle w:val="FootnoteAnchor"/>
          <w:rFonts w:ascii="Calibri" w:hAnsi="Calibri"/>
          <w:sz w:val="22"/>
        </w:rPr>
        <w:footnoteReference w:id="2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proofErr w:type="gramStart"/>
      <w:r>
        <w:rPr>
          <w:rFonts w:ascii="Calibri" w:hAnsi="Calibri"/>
        </w:rPr>
        <w:t>n.n</w:t>
      </w:r>
      <w:proofErr w:type="spellEnd"/>
      <w:proofErr w:type="gramEnd"/>
    </w:p>
    <w:p w14:paraId="103AB152" w14:textId="77777777" w:rsidR="00F32542" w:rsidRDefault="00E126B8">
      <w:pPr>
        <w:pStyle w:val="BodyText"/>
        <w:tabs>
          <w:tab w:val="left" w:pos="2835"/>
        </w:tabs>
      </w:pPr>
      <w:r>
        <w:rPr>
          <w:rFonts w:ascii="Calibri" w:hAnsi="Calibri"/>
        </w:rPr>
        <w:t xml:space="preserve">Technical Domain / Task Number 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…………………………………</w:t>
      </w:r>
    </w:p>
    <w:p w14:paraId="103AB153" w14:textId="6D112D37" w:rsidR="00F32542" w:rsidRDefault="00E126B8">
      <w:pPr>
        <w:pStyle w:val="BodyText"/>
        <w:tabs>
          <w:tab w:val="left" w:pos="2835"/>
        </w:tabs>
        <w:jc w:val="left"/>
      </w:pPr>
      <w:r>
        <w:rPr>
          <w:rFonts w:ascii="Calibri" w:hAnsi="Calibri"/>
        </w:rPr>
        <w:t>Author(s) / Submitter(s)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DLR, Germany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Fintraffic</w:t>
      </w:r>
      <w:proofErr w:type="spellEnd"/>
      <w:r>
        <w:rPr>
          <w:rFonts w:ascii="Calibri" w:hAnsi="Calibri"/>
        </w:rPr>
        <w:t>, Finland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Finnish Transport Infrastructure Agency, Finland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Federal Waterways and Shipping Administration, Germany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Vissim</w:t>
      </w:r>
      <w:proofErr w:type="spellEnd"/>
      <w:r>
        <w:rPr>
          <w:rFonts w:ascii="Calibri" w:hAnsi="Calibri"/>
        </w:rPr>
        <w:t>, Norway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Maritime Safety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Administration, China</w:t>
      </w:r>
    </w:p>
    <w:p w14:paraId="103AB154" w14:textId="77777777" w:rsidR="00F32542" w:rsidRDefault="00E126B8">
      <w:pPr>
        <w:pStyle w:val="BodyText"/>
        <w:tabs>
          <w:tab w:val="left" w:pos="2835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03AB155" w14:textId="77777777" w:rsidR="00F32542" w:rsidRDefault="00F32542">
      <w:pPr>
        <w:pStyle w:val="BodyText"/>
        <w:tabs>
          <w:tab w:val="left" w:pos="2835"/>
        </w:tabs>
        <w:rPr>
          <w:rFonts w:ascii="Calibri" w:hAnsi="Calibri"/>
        </w:rPr>
      </w:pPr>
    </w:p>
    <w:p w14:paraId="103AB156" w14:textId="77777777" w:rsidR="00F32542" w:rsidRDefault="00E126B8">
      <w:pPr>
        <w:pStyle w:val="Title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Development of technical service specifications for digital data exchange between VTS and other entities - primarily ships</w:t>
      </w:r>
    </w:p>
    <w:p w14:paraId="103AB157" w14:textId="77777777" w:rsidR="00F32542" w:rsidRDefault="00E126B8">
      <w:pPr>
        <w:pStyle w:val="Heading1"/>
      </w:pPr>
      <w:r>
        <w:t>Summary</w:t>
      </w:r>
    </w:p>
    <w:p w14:paraId="103AB158" w14:textId="7CCE9694" w:rsidR="00F32542" w:rsidRDefault="00E126B8">
      <w:pPr>
        <w:pStyle w:val="BodyText"/>
      </w:pPr>
      <w:r>
        <w:rPr>
          <w:rFonts w:ascii="Calibri" w:hAnsi="Calibri"/>
        </w:rPr>
        <w:t xml:space="preserve">During VTS52, a joint VTS/ENAV task group was </w:t>
      </w:r>
      <w:r>
        <w:rPr>
          <w:rFonts w:ascii="Calibri" w:hAnsi="Calibri"/>
        </w:rPr>
        <w:t>formed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with the purpose of </w:t>
      </w:r>
      <w:r>
        <w:rPr>
          <w:rFonts w:ascii="Calibri" w:hAnsi="Calibri"/>
        </w:rPr>
        <w:t xml:space="preserve">developing technical service specifications for digital data exchange between VTS and other entities - primarily ships. The technical services will be developed in the </w:t>
      </w:r>
      <w:proofErr w:type="gramStart"/>
      <w:r>
        <w:rPr>
          <w:rFonts w:ascii="Calibri" w:hAnsi="Calibri"/>
        </w:rPr>
        <w:t xml:space="preserve">same </w:t>
      </w:r>
      <w:r>
        <w:rPr>
          <w:rFonts w:ascii="Calibri" w:hAnsi="Calibri"/>
        </w:rPr>
        <w:t xml:space="preserve"> manner</w:t>
      </w:r>
      <w:proofErr w:type="gramEnd"/>
      <w:r>
        <w:rPr>
          <w:rFonts w:ascii="Calibri" w:hAnsi="Calibri"/>
        </w:rPr>
        <w:t xml:space="preserve"> as IHO is developing a technical service specification for the provisioning of navigational warnings and as IALA is developing technical service specifications for the provisioning of AtoN information.</w:t>
      </w:r>
    </w:p>
    <w:p w14:paraId="103AB159" w14:textId="77777777" w:rsidR="00F32542" w:rsidRDefault="00E126B8">
      <w:pPr>
        <w:pStyle w:val="BodyText"/>
      </w:pPr>
      <w:r>
        <w:rPr>
          <w:rFonts w:ascii="Calibri" w:hAnsi="Calibri"/>
        </w:rPr>
        <w:t>So far, the task group has had two inter-sessional me</w:t>
      </w:r>
      <w:r>
        <w:rPr>
          <w:rFonts w:ascii="Calibri" w:hAnsi="Calibri"/>
        </w:rPr>
        <w:t>etings, and will have a physical meeting during VTS53. The group has been discussing the exact definition of the task - how to proceed and the relevant methods/guidelines/standards to be used.</w:t>
      </w:r>
    </w:p>
    <w:p w14:paraId="103AB15A" w14:textId="77777777" w:rsidR="00F32542" w:rsidRDefault="00E126B8">
      <w:pPr>
        <w:pStyle w:val="BodyText"/>
        <w:rPr>
          <w:rFonts w:ascii="Calibri" w:hAnsi="Calibri"/>
        </w:rPr>
      </w:pPr>
      <w:r>
        <w:rPr>
          <w:rFonts w:ascii="Calibri" w:hAnsi="Calibri"/>
        </w:rPr>
        <w:t>The group will</w:t>
      </w:r>
    </w:p>
    <w:p w14:paraId="103AB15B" w14:textId="77777777" w:rsidR="00F32542" w:rsidRDefault="00E126B8">
      <w:pPr>
        <w:pStyle w:val="BodyText"/>
        <w:ind w:left="720"/>
        <w:rPr>
          <w:rFonts w:ascii="Calibri" w:hAnsi="Calibri"/>
        </w:rPr>
      </w:pPr>
      <w:r>
        <w:rPr>
          <w:rFonts w:ascii="Calibri" w:hAnsi="Calibri"/>
        </w:rPr>
        <w:t>Identify the suite of relevant technical service</w:t>
      </w:r>
      <w:r>
        <w:rPr>
          <w:rFonts w:ascii="Calibri" w:hAnsi="Calibri"/>
        </w:rPr>
        <w:t>s for VTS (including identifying which are VTS "exclusive" and which are not)</w:t>
      </w:r>
    </w:p>
    <w:p w14:paraId="103AB15C" w14:textId="77777777" w:rsidR="00F32542" w:rsidRDefault="00E126B8">
      <w:pPr>
        <w:pStyle w:val="BodyText"/>
        <w:ind w:left="720"/>
      </w:pPr>
      <w:r>
        <w:rPr>
          <w:rFonts w:ascii="Calibri" w:hAnsi="Calibri"/>
        </w:rPr>
        <w:t>Identify a few obvious ("pioneer") technical services and begin the actual specifications of these.</w:t>
      </w:r>
    </w:p>
    <w:p w14:paraId="103AB15D" w14:textId="1C73ACCB" w:rsidR="00F32542" w:rsidRDefault="00E126B8">
      <w:pPr>
        <w:pStyle w:val="BodyText"/>
        <w:rPr>
          <w:rFonts w:asciiTheme="minorHAnsi" w:hAnsiTheme="minorHAnsi" w:cstheme="minorHAnsi"/>
        </w:rPr>
      </w:pPr>
      <w:r w:rsidRPr="00E126B8">
        <w:rPr>
          <w:rFonts w:asciiTheme="minorHAnsi" w:hAnsiTheme="minorHAnsi" w:cstheme="minorHAnsi"/>
        </w:rPr>
        <w:t>The "exclusive" VTS services are services that will not be used by other entit</w:t>
      </w:r>
      <w:r w:rsidRPr="00E126B8">
        <w:rPr>
          <w:rFonts w:asciiTheme="minorHAnsi" w:hAnsiTheme="minorHAnsi" w:cstheme="minorHAnsi"/>
        </w:rPr>
        <w:t>ies than VTS - and thereby needs to be defined by this group. Other services may be part of the suite of technical services used by VTS - but will be defined elsewhere. For example - most VTS will provide navigational warnings (in S-124 format), but this i</w:t>
      </w:r>
      <w:r w:rsidRPr="00E126B8">
        <w:rPr>
          <w:rFonts w:asciiTheme="minorHAnsi" w:hAnsiTheme="minorHAnsi" w:cstheme="minorHAnsi"/>
        </w:rPr>
        <w:t xml:space="preserve">s within the IHO domain - so the technical service specification for navigational warnings will be developed by </w:t>
      </w:r>
      <w:r>
        <w:rPr>
          <w:rFonts w:asciiTheme="minorHAnsi" w:hAnsiTheme="minorHAnsi" w:cstheme="minorHAnsi"/>
        </w:rPr>
        <w:t xml:space="preserve">IHO but </w:t>
      </w:r>
      <w:r w:rsidRPr="00E126B8">
        <w:rPr>
          <w:rFonts w:asciiTheme="minorHAnsi" w:hAnsiTheme="minorHAnsi" w:cstheme="minorHAnsi"/>
        </w:rPr>
        <w:t>will still be a service in the suite of VTS services.</w:t>
      </w:r>
    </w:p>
    <w:p w14:paraId="103AB15E" w14:textId="21059D75" w:rsidR="00F32542" w:rsidRDefault="00E126B8">
      <w:pPr>
        <w:pStyle w:val="BodyText"/>
      </w:pPr>
      <w:r>
        <w:t>The suite of technical services will be identified based on requirements/</w:t>
      </w:r>
      <w:r>
        <w:t xml:space="preserve">use-cases derived from existing documents such as 'G1141 </w:t>
      </w:r>
      <w:hyperlink r:id="rId9">
        <w:r>
          <w:rPr>
            <w:rStyle w:val="Hyperlink"/>
            <w:sz w:val="22"/>
          </w:rPr>
          <w:t>Ed2.1 Operational Procedure</w:t>
        </w:r>
        <w:r>
          <w:rPr>
            <w:rStyle w:val="Hyperlink"/>
            <w:sz w:val="22"/>
          </w:rPr>
          <w:t>s for Delivering VTS January 2022</w:t>
        </w:r>
      </w:hyperlink>
      <w:r>
        <w:t xml:space="preserve">' </w:t>
      </w:r>
      <w:r>
        <w:lastRenderedPageBreak/>
        <w:t xml:space="preserve">‘R0127 (V-127) </w:t>
      </w:r>
      <w:hyperlink r:id="rId10">
        <w:r>
          <w:rPr>
            <w:rStyle w:val="Hyperlink"/>
            <w:sz w:val="22"/>
          </w:rPr>
          <w:t>Ed3.2 VTS Operations January 2022</w:t>
        </w:r>
      </w:hyperlink>
      <w:r>
        <w:t xml:space="preserve">’ </w:t>
      </w:r>
      <w:r>
        <w:t xml:space="preserve">and 'G1089 Provision of a VTS'. These </w:t>
      </w:r>
      <w:r>
        <w:t xml:space="preserve">requirements will be further refined to a level of detail needed </w:t>
      </w:r>
      <w:r>
        <w:t>to identify specific technical services.</w:t>
      </w:r>
    </w:p>
    <w:p w14:paraId="103AB15F" w14:textId="6F765DB4" w:rsidR="00F32542" w:rsidRDefault="00E126B8">
      <w:pPr>
        <w:pStyle w:val="BodyText"/>
      </w:pPr>
      <w:r>
        <w:t>The initial suite of technical services are the ones listed (as associated technical services) in the description of Maritime Service 1 - Ves</w:t>
      </w:r>
      <w:r>
        <w:t>sel Traffic Service. However</w:t>
      </w:r>
      <w:r>
        <w:t>,</w:t>
      </w:r>
      <w:r>
        <w:t xml:space="preserve"> the group </w:t>
      </w:r>
      <w:r>
        <w:t>intends</w:t>
      </w:r>
      <w:r>
        <w:t xml:space="preserve"> </w:t>
      </w:r>
      <w:r>
        <w:t>to assess this suite of services.</w:t>
      </w:r>
    </w:p>
    <w:p w14:paraId="103AB160" w14:textId="77777777" w:rsidR="00F32542" w:rsidRDefault="00E126B8">
      <w:pPr>
        <w:pStyle w:val="BodyText"/>
      </w:pPr>
      <w:proofErr w:type="gramStart"/>
      <w:r>
        <w:t>With regard to</w:t>
      </w:r>
      <w:proofErr w:type="gramEnd"/>
      <w:r>
        <w:t xml:space="preserve"> identifying a few "pioneer" services, the group is considering:</w:t>
      </w:r>
    </w:p>
    <w:p w14:paraId="103AB161" w14:textId="77777777" w:rsidR="00F32542" w:rsidRDefault="00E126B8">
      <w:pPr>
        <w:pStyle w:val="BodyText"/>
        <w:ind w:left="720"/>
        <w:jc w:val="left"/>
        <w:rPr>
          <w:b/>
          <w:bCs/>
        </w:rPr>
      </w:pPr>
      <w:r>
        <w:rPr>
          <w:b/>
          <w:bCs/>
        </w:rPr>
        <w:t>VTS area information</w:t>
      </w:r>
    </w:p>
    <w:p w14:paraId="103AB162" w14:textId="77777777" w:rsidR="00F32542" w:rsidRDefault="00E126B8">
      <w:pPr>
        <w:pStyle w:val="BodyText"/>
        <w:ind w:left="720"/>
        <w:jc w:val="left"/>
      </w:pPr>
      <w:r>
        <w:t xml:space="preserve">Provision of information about the VTS Area </w:t>
      </w:r>
      <w:r>
        <w:t>circumstances and dynamic features that are relevant to the vessel.</w:t>
      </w:r>
    </w:p>
    <w:p w14:paraId="103AB163" w14:textId="77777777" w:rsidR="00F32542" w:rsidRDefault="00E126B8">
      <w:pPr>
        <w:pStyle w:val="BodyText"/>
        <w:ind w:left="720"/>
        <w:jc w:val="left"/>
      </w:pPr>
      <w:r>
        <w:t>This information is broadcasted to all vessels entering a VTS area</w:t>
      </w:r>
      <w:r>
        <w:t xml:space="preserve"> or within VTS area</w:t>
      </w:r>
    </w:p>
    <w:p w14:paraId="103AB164" w14:textId="77777777" w:rsidR="00F32542" w:rsidRDefault="00E126B8">
      <w:pPr>
        <w:pStyle w:val="BodyText"/>
        <w:ind w:left="720"/>
        <w:rPr>
          <w:b/>
          <w:bCs/>
        </w:rPr>
      </w:pPr>
      <w:r>
        <w:rPr>
          <w:b/>
          <w:bCs/>
        </w:rPr>
        <w:t>VTS Traffic Clearance Service</w:t>
      </w:r>
    </w:p>
    <w:p w14:paraId="103AB165" w14:textId="77777777" w:rsidR="00F32542" w:rsidRDefault="00E126B8">
      <w:pPr>
        <w:pStyle w:val="BodyText"/>
        <w:ind w:left="720"/>
      </w:pPr>
      <w:r>
        <w:t>Retrieve information related to the management of the ship traffic</w:t>
      </w:r>
    </w:p>
    <w:p w14:paraId="103AB166" w14:textId="77777777" w:rsidR="00F32542" w:rsidRDefault="00E126B8">
      <w:pPr>
        <w:pStyle w:val="BodyText"/>
        <w:ind w:left="720"/>
      </w:pPr>
      <w:r>
        <w:t xml:space="preserve">This </w:t>
      </w:r>
      <w:r>
        <w:t>information is provided to a specific vessel</w:t>
      </w:r>
    </w:p>
    <w:p w14:paraId="103AB167" w14:textId="77777777" w:rsidR="00F32542" w:rsidRDefault="00E126B8">
      <w:pPr>
        <w:pStyle w:val="BodyText"/>
      </w:pPr>
      <w:r>
        <w:rPr>
          <w:rFonts w:ascii="Calibri" w:hAnsi="Calibri"/>
        </w:rPr>
        <w:t>Annex A is a (proposed) task description for the IALA task registry</w:t>
      </w:r>
    </w:p>
    <w:p w14:paraId="103AB168" w14:textId="77777777" w:rsidR="00F32542" w:rsidRDefault="00E126B8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Annex B is a list of relevant guidelines/standards and other relevant documents that will be used in the development of the technical services </w:t>
      </w:r>
      <w:r>
        <w:rPr>
          <w:rFonts w:ascii="Calibri" w:hAnsi="Calibri"/>
        </w:rPr>
        <w:t>specifications.</w:t>
      </w:r>
    </w:p>
    <w:p w14:paraId="103AB169" w14:textId="77777777" w:rsidR="00F32542" w:rsidRDefault="00E126B8">
      <w:pPr>
        <w:pStyle w:val="Heading1"/>
      </w:pPr>
      <w:r>
        <w:t>Action requested of the Committee</w:t>
      </w:r>
    </w:p>
    <w:p w14:paraId="103AB16A" w14:textId="77777777" w:rsidR="00F32542" w:rsidRDefault="00E126B8">
      <w:pPr>
        <w:pStyle w:val="BodyText"/>
        <w:rPr>
          <w:rFonts w:ascii="Calibri" w:hAnsi="Calibri"/>
        </w:rPr>
        <w:sectPr w:rsidR="00F32542">
          <w:headerReference w:type="default" r:id="rId11"/>
          <w:footerReference w:type="default" r:id="rId12"/>
          <w:headerReference w:type="first" r:id="rId13"/>
          <w:pgSz w:w="11906" w:h="16838"/>
          <w:pgMar w:top="766" w:right="991" w:bottom="1134" w:left="1134" w:header="709" w:footer="709" w:gutter="0"/>
          <w:cols w:space="720"/>
          <w:formProt w:val="0"/>
          <w:titlePg/>
          <w:docGrid w:linePitch="360"/>
        </w:sectPr>
      </w:pPr>
      <w:r>
        <w:rPr>
          <w:rFonts w:ascii="Calibri" w:hAnsi="Calibri"/>
        </w:rPr>
        <w:t xml:space="preserve">To take note of the information. And any interested parties are </w:t>
      </w:r>
      <w:r>
        <w:rPr>
          <w:rFonts w:ascii="Calibri" w:hAnsi="Calibri"/>
        </w:rPr>
        <w:t>encouraged to join the task group and contribute to the work.</w:t>
      </w:r>
    </w:p>
    <w:p w14:paraId="103AB16B" w14:textId="77777777" w:rsidR="00F32542" w:rsidRDefault="00E126B8">
      <w:pPr>
        <w:pStyle w:val="Annex"/>
        <w:jc w:val="center"/>
        <w:rPr>
          <w:color w:val="4F81BD"/>
          <w:lang w:eastAsia="en-US"/>
        </w:rPr>
      </w:pPr>
      <w:r>
        <w:rPr>
          <w:color w:val="4F81BD"/>
          <w:lang w:eastAsia="en-US"/>
        </w:rPr>
        <w:t>Annex A</w:t>
      </w:r>
    </w:p>
    <w:p w14:paraId="103AB16C" w14:textId="77777777" w:rsidR="00F32542" w:rsidRDefault="00F32542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8"/>
        <w:gridCol w:w="2547"/>
        <w:gridCol w:w="2268"/>
        <w:gridCol w:w="2553"/>
      </w:tblGrid>
      <w:tr w:rsidR="00F32542" w14:paraId="103AB16E" w14:textId="77777777">
        <w:trPr>
          <w:cantSplit/>
          <w:trHeight w:val="428"/>
        </w:trPr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3AB16D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center"/>
              <w:rPr>
                <w:bCs/>
                <w:iCs/>
                <w:lang w:eastAsia="zh-CN"/>
              </w:rPr>
            </w:pPr>
            <w:r>
              <w:rPr>
                <w:b/>
                <w:bCs/>
                <w:iCs/>
                <w:lang w:eastAsia="zh-CN"/>
              </w:rPr>
              <w:t>VTS</w:t>
            </w:r>
            <w:r>
              <w:rPr>
                <w:rFonts w:cs="Arial"/>
                <w:b/>
                <w:bCs/>
                <w:iCs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iCs/>
                <w:lang w:eastAsia="zh-CN"/>
              </w:rPr>
              <w:t>COMMITTEE WORK PLAN</w:t>
            </w:r>
            <w:r>
              <w:rPr>
                <w:rFonts w:ascii="SimSun" w:eastAsia="SimSun" w:hAnsi="SimSun" w:cs="SimSun"/>
                <w:b/>
                <w:bCs/>
                <w:iCs/>
                <w:lang w:eastAsia="zh-CN"/>
              </w:rPr>
              <w:t xml:space="preserve"> </w:t>
            </w:r>
            <w:r>
              <w:rPr>
                <w:b/>
                <w:bCs/>
                <w:iCs/>
                <w:lang w:eastAsia="zh-CN"/>
              </w:rPr>
              <w:t>2023-2027</w:t>
            </w:r>
          </w:p>
        </w:tc>
      </w:tr>
      <w:tr w:rsidR="00F32542" w:rsidRPr="00E126B8" w14:paraId="103AB172" w14:textId="77777777">
        <w:trPr>
          <w:cantSplit/>
          <w:trHeight w:val="42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6F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Standard No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0" w14:textId="77777777" w:rsidR="00F32542" w:rsidRPr="00E126B8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sz w:val="20"/>
                <w:szCs w:val="20"/>
                <w:lang w:val="fr-FR"/>
              </w:rPr>
            </w:pPr>
            <w:r w:rsidRPr="00E126B8">
              <w:rPr>
                <w:sz w:val="20"/>
                <w:szCs w:val="20"/>
                <w:lang w:val="fr-FR"/>
              </w:rPr>
              <w:t>1040 - Vessel Traffic Services</w:t>
            </w:r>
          </w:p>
          <w:p w14:paraId="103AB171" w14:textId="77777777" w:rsidR="00F32542" w:rsidRPr="00E126B8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sz w:val="20"/>
                <w:szCs w:val="20"/>
                <w:lang w:val="fr-FR"/>
              </w:rPr>
            </w:pPr>
            <w:r w:rsidRPr="00E126B8">
              <w:rPr>
                <w:sz w:val="20"/>
                <w:szCs w:val="20"/>
                <w:lang w:val="fr-FR"/>
              </w:rPr>
              <w:t>1070 – Information services</w:t>
            </w:r>
          </w:p>
        </w:tc>
      </w:tr>
      <w:tr w:rsidR="00F32542" w14:paraId="103AB176" w14:textId="77777777">
        <w:trPr>
          <w:cantSplit/>
          <w:trHeight w:val="49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3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Topic Area/Scope</w:t>
            </w:r>
          </w:p>
          <w:p w14:paraId="103AB174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(See Standard or Work Programme 2023-2028)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5" w14:textId="77777777" w:rsidR="00F32542" w:rsidRDefault="00E126B8">
            <w:pPr>
              <w:widowControl w:val="0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S1040-3 VTS </w:t>
            </w:r>
            <w:r>
              <w:rPr>
                <w:sz w:val="20"/>
                <w:szCs w:val="20"/>
              </w:rPr>
              <w:t>data and information management</w:t>
            </w:r>
          </w:p>
        </w:tc>
      </w:tr>
      <w:tr w:rsidR="00F32542" w14:paraId="103AB17B" w14:textId="77777777">
        <w:trPr>
          <w:cantSplit/>
          <w:trHeight w:val="85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7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Strategic Alignment</w:t>
            </w:r>
          </w:p>
          <w:p w14:paraId="103AB178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(See IALA Strategic Vision)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9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Goal:</w:t>
            </w:r>
            <w:r>
              <w:rPr>
                <w:bCs/>
                <w:iCs/>
                <w:sz w:val="20"/>
              </w:rPr>
              <w:t xml:space="preserve"> G1 – Marine Aids to Navigation are developed and harmonised through international cooperation and the provision of standards.</w:t>
            </w:r>
          </w:p>
          <w:p w14:paraId="103AB17A" w14:textId="77777777" w:rsidR="00F32542" w:rsidRDefault="00E126B8">
            <w:pPr>
              <w:pStyle w:val="BodyText3"/>
              <w:widowControl w:val="0"/>
              <w:spacing w:before="60"/>
              <w:ind w:left="0"/>
              <w:jc w:val="both"/>
            </w:pPr>
            <w:r>
              <w:rPr>
                <w:b/>
                <w:i w:val="0"/>
                <w:sz w:val="20"/>
              </w:rPr>
              <w:t xml:space="preserve">Strategy: </w:t>
            </w:r>
            <w:r>
              <w:rPr>
                <w:i w:val="0"/>
                <w:sz w:val="20"/>
              </w:rPr>
              <w:t>S6 - Improve and harmonise the delivery of VTS globally and in a manner consistent with international conventions, nati</w:t>
            </w:r>
            <w:r>
              <w:rPr>
                <w:i w:val="0"/>
                <w:sz w:val="20"/>
              </w:rPr>
              <w:t xml:space="preserve">onal </w:t>
            </w:r>
            <w:proofErr w:type="gramStart"/>
            <w:r>
              <w:rPr>
                <w:i w:val="0"/>
                <w:sz w:val="20"/>
              </w:rPr>
              <w:t>legislation</w:t>
            </w:r>
            <w:proofErr w:type="gramEnd"/>
            <w:r>
              <w:rPr>
                <w:i w:val="0"/>
                <w:sz w:val="20"/>
              </w:rPr>
              <w:t xml:space="preserve"> and public expectations, to ensure the safety and efficiency of vessel traffic and to protect the environment.</w:t>
            </w:r>
          </w:p>
        </w:tc>
      </w:tr>
      <w:tr w:rsidR="00F32542" w14:paraId="103AB17F" w14:textId="77777777">
        <w:trPr>
          <w:cantSplit/>
          <w:trHeight w:val="71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C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Task</w:t>
            </w:r>
          </w:p>
          <w:p w14:paraId="103AB17D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(Proposed task name for new tasks)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7E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Development of technical service specifications for digital data exchange between VTS a</w:t>
            </w:r>
            <w:r>
              <w:rPr>
                <w:bCs/>
                <w:i/>
                <w:iCs/>
                <w:sz w:val="20"/>
                <w:szCs w:val="20"/>
              </w:rPr>
              <w:t>nd other entities - primarily ships</w:t>
            </w:r>
          </w:p>
        </w:tc>
      </w:tr>
      <w:tr w:rsidR="00F32542" w14:paraId="103AB184" w14:textId="77777777">
        <w:trPr>
          <w:cantSplit/>
          <w:trHeight w:val="46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0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Objectives of the task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1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To develop technical service specifications for VTS using the G1128 guideline </w:t>
            </w:r>
            <w:proofErr w:type="gramStart"/>
            <w:r>
              <w:rPr>
                <w:bCs/>
                <w:iCs/>
                <w:sz w:val="20"/>
                <w:szCs w:val="20"/>
              </w:rPr>
              <w:t>‘ Specification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of e-navigation technical services</w:t>
            </w:r>
          </w:p>
          <w:p w14:paraId="103AB182" w14:textId="2FA784DE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These technical services will be referenced </w:t>
            </w:r>
            <w:r>
              <w:rPr>
                <w:bCs/>
                <w:iCs/>
                <w:sz w:val="20"/>
                <w:szCs w:val="20"/>
              </w:rPr>
              <w:t>in</w:t>
            </w:r>
            <w:r>
              <w:rPr>
                <w:bCs/>
                <w:iCs/>
                <w:sz w:val="20"/>
                <w:szCs w:val="20"/>
              </w:rPr>
              <w:t xml:space="preserve"> Maritime Service 1 – Vessel Traffic Service</w:t>
            </w:r>
            <w:r>
              <w:rPr>
                <w:bCs/>
                <w:iCs/>
                <w:sz w:val="20"/>
                <w:szCs w:val="20"/>
              </w:rPr>
              <w:t>, as associated technical services</w:t>
            </w:r>
          </w:p>
          <w:p w14:paraId="103AB183" w14:textId="77777777" w:rsidR="00F32542" w:rsidRDefault="00F3254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</w:p>
        </w:tc>
      </w:tr>
      <w:tr w:rsidR="00F32542" w14:paraId="103AB188" w14:textId="77777777">
        <w:trPr>
          <w:cantSplit/>
          <w:trHeight w:val="4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5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Expected outcome</w:t>
            </w:r>
          </w:p>
          <w:p w14:paraId="103AB186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e.g.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 xml:space="preserve"> Recommendation, Guideline, Model Course)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7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A number of</w:t>
            </w:r>
            <w:proofErr w:type="gramEnd"/>
            <w:r>
              <w:rPr>
                <w:bCs/>
                <w:sz w:val="20"/>
                <w:szCs w:val="20"/>
              </w:rPr>
              <w:t xml:space="preserve"> technical service specifications</w:t>
            </w:r>
          </w:p>
        </w:tc>
      </w:tr>
      <w:tr w:rsidR="00F32542" w14:paraId="103AB18C" w14:textId="77777777">
        <w:trPr>
          <w:cantSplit/>
          <w:trHeight w:val="4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9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Compelling need</w:t>
            </w:r>
          </w:p>
          <w:p w14:paraId="103AB18A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(Describe briefly why this task should be included in the Work Programme)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B" w14:textId="77777777" w:rsidR="00F32542" w:rsidRDefault="00E126B8">
            <w:pPr>
              <w:pStyle w:val="ListParagraph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The technical service specifications will enable VTS providers and related stakeholders such as ship equipment manufacturers to implement technical services and thus </w:t>
            </w:r>
            <w:r>
              <w:rPr>
                <w:bCs/>
                <w:iCs/>
                <w:sz w:val="20"/>
                <w:szCs w:val="20"/>
              </w:rPr>
              <w:t>enable them to exchange digital information securely and reliably. This will bring VTS into the digital era with all the associated benefits including support for the future of MASS.</w:t>
            </w:r>
          </w:p>
        </w:tc>
      </w:tr>
      <w:tr w:rsidR="00F32542" w14:paraId="103AB194" w14:textId="77777777">
        <w:trPr>
          <w:cantSplit/>
          <w:trHeight w:val="61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D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Scope</w:t>
            </w:r>
          </w:p>
          <w:p w14:paraId="103AB18E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(Describe key items to be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taken into account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 xml:space="preserve"> as well as what is no</w:t>
            </w:r>
            <w:r>
              <w:rPr>
                <w:bCs/>
                <w:i/>
                <w:iCs/>
                <w:sz w:val="16"/>
                <w:szCs w:val="16"/>
              </w:rPr>
              <w:t>t included)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8F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 Scope: Technical service specifications for VTS</w:t>
            </w:r>
          </w:p>
          <w:p w14:paraId="103AB190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Out of scope:</w:t>
            </w:r>
          </w:p>
          <w:p w14:paraId="103AB191" w14:textId="48A10F6A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Technical service specifications for services that may be provided by VTS – but inherently belong to a different domain. </w:t>
            </w:r>
            <w:r>
              <w:rPr>
                <w:iCs/>
                <w:sz w:val="20"/>
                <w:szCs w:val="20"/>
              </w:rPr>
              <w:t xml:space="preserve">These </w:t>
            </w:r>
            <w:r>
              <w:rPr>
                <w:iCs/>
                <w:sz w:val="20"/>
                <w:szCs w:val="20"/>
              </w:rPr>
              <w:t>could be navigational warnings, water levels, AtoN information etc.</w:t>
            </w:r>
          </w:p>
          <w:p w14:paraId="103AB192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Also, data-models and portrayal will not be </w:t>
            </w:r>
            <w:r>
              <w:rPr>
                <w:iCs/>
                <w:sz w:val="20"/>
                <w:szCs w:val="20"/>
              </w:rPr>
              <w:t>considered (but feedback to work done on these items may be relevant to provide).</w:t>
            </w:r>
          </w:p>
          <w:p w14:paraId="103AB193" w14:textId="77777777" w:rsidR="00F32542" w:rsidRDefault="00F3254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iCs/>
                <w:sz w:val="20"/>
                <w:szCs w:val="20"/>
                <w:lang w:eastAsia="zh-CN"/>
              </w:rPr>
            </w:pPr>
          </w:p>
        </w:tc>
      </w:tr>
      <w:tr w:rsidR="00F32542" w14:paraId="103AB1A8" w14:textId="77777777">
        <w:trPr>
          <w:cantSplit/>
          <w:trHeight w:val="139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95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Brief and concise description of the work to be undertaken and programme mile</w:t>
            </w:r>
            <w:r>
              <w:rPr>
                <w:b/>
                <w:bCs/>
                <w:iCs/>
                <w:sz w:val="20"/>
                <w:szCs w:val="20"/>
              </w:rPr>
              <w:softHyphen/>
              <w:t>stones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96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The task will work on developing technical service specifications for VTS using </w:t>
            </w:r>
            <w:proofErr w:type="gramStart"/>
            <w:r>
              <w:rPr>
                <w:bCs/>
                <w:iCs/>
                <w:sz w:val="20"/>
                <w:szCs w:val="20"/>
              </w:rPr>
              <w:t>a numbe</w:t>
            </w:r>
            <w:r>
              <w:rPr>
                <w:bCs/>
                <w:iCs/>
                <w:sz w:val="20"/>
                <w:szCs w:val="20"/>
              </w:rPr>
              <w:t>r of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existing guidelines and standards.</w:t>
            </w:r>
          </w:p>
          <w:p w14:paraId="103AB197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The main guideline will be G1128 'Specification of e-navigation technical services'. This provides the overall guideline for developing the specifications which is aligned with the template for technical services pro</w:t>
            </w:r>
            <w:r>
              <w:rPr>
                <w:bCs/>
                <w:iCs/>
                <w:sz w:val="20"/>
                <w:szCs w:val="20"/>
              </w:rPr>
              <w:t>vided in IMO MSC.467(101) 'Guidance on the definition and harmonization of the format and structure of Maritime Services in the context of e-navigation'.</w:t>
            </w:r>
          </w:p>
          <w:p w14:paraId="103AB198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Other relevant guidelines/standards include</w:t>
            </w:r>
          </w:p>
          <w:p w14:paraId="103AB199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G1157 'Web Service Based S-100 Data Exchange'</w:t>
            </w:r>
          </w:p>
          <w:p w14:paraId="103AB19A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IEC </w:t>
            </w:r>
            <w:r>
              <w:rPr>
                <w:bCs/>
                <w:iCs/>
                <w:sz w:val="20"/>
                <w:szCs w:val="20"/>
              </w:rPr>
              <w:t>63173-2 'Secure exchange and communication of S-100 based products' (SECOM)</w:t>
            </w:r>
          </w:p>
          <w:p w14:paraId="103AB19B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IALA G1143 'Unique identifiers for maritime resources'</w:t>
            </w:r>
          </w:p>
          <w:p w14:paraId="103AB19C" w14:textId="65D93C62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IALA G1161 </w:t>
            </w:r>
            <w:r>
              <w:rPr>
                <w:bCs/>
                <w:iCs/>
                <w:sz w:val="20"/>
                <w:szCs w:val="20"/>
              </w:rPr>
              <w:t xml:space="preserve"> ‘</w:t>
            </w:r>
            <w:hyperlink r:id="rId14">
              <w:r>
                <w:rPr>
                  <w:rStyle w:val="Hyperlink"/>
                  <w:bCs/>
                  <w:iCs/>
                  <w:szCs w:val="20"/>
                </w:rPr>
                <w:t>Evaluation of Platforms for the Provision of Maritime Services’</w:t>
              </w:r>
            </w:hyperlink>
          </w:p>
          <w:p w14:paraId="103AB19D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R0127 (V-127) V</w:t>
            </w:r>
            <w:r>
              <w:rPr>
                <w:bCs/>
                <w:iCs/>
                <w:sz w:val="20"/>
                <w:szCs w:val="20"/>
              </w:rPr>
              <w:t>TS Operations</w:t>
            </w:r>
          </w:p>
          <w:p w14:paraId="103AB19E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G1141 </w:t>
            </w:r>
            <w:r>
              <w:rPr>
                <w:bCs/>
                <w:iCs/>
                <w:sz w:val="20"/>
                <w:szCs w:val="20"/>
              </w:rPr>
              <w:t>Operational Procedures for Delivering VTS</w:t>
            </w:r>
          </w:p>
          <w:p w14:paraId="103AB19F" w14:textId="77777777" w:rsidR="00F32542" w:rsidRDefault="00E12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G1089 Provision of a VTS</w:t>
            </w:r>
          </w:p>
          <w:p w14:paraId="103AB1A0" w14:textId="59EE6480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Furthermore – the technical services will be depending on the VTS S-</w:t>
            </w:r>
            <w:r>
              <w:rPr>
                <w:bCs/>
                <w:iCs/>
                <w:sz w:val="20"/>
                <w:szCs w:val="20"/>
              </w:rPr>
              <w:t xml:space="preserve">212 </w:t>
            </w:r>
            <w:r>
              <w:rPr>
                <w:bCs/>
                <w:iCs/>
                <w:sz w:val="20"/>
                <w:szCs w:val="20"/>
              </w:rPr>
              <w:t xml:space="preserve">product specification </w:t>
            </w:r>
            <w:proofErr w:type="gramStart"/>
            <w:r>
              <w:rPr>
                <w:bCs/>
                <w:iCs/>
                <w:sz w:val="20"/>
                <w:szCs w:val="20"/>
              </w:rPr>
              <w:t>with regard to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data-model and portrayal.</w:t>
            </w:r>
          </w:p>
          <w:p w14:paraId="103AB1A1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The process (milestones) may be:</w:t>
            </w:r>
          </w:p>
          <w:p w14:paraId="103AB1A2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Identity </w:t>
            </w:r>
            <w:r>
              <w:rPr>
                <w:bCs/>
                <w:iCs/>
                <w:sz w:val="20"/>
                <w:szCs w:val="20"/>
              </w:rPr>
              <w:t>technical services</w:t>
            </w:r>
          </w:p>
          <w:p w14:paraId="103AB1A3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Finalise first (simple) technical service</w:t>
            </w:r>
          </w:p>
          <w:p w14:paraId="103AB1A4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perform testing</w:t>
            </w:r>
          </w:p>
          <w:p w14:paraId="103AB1A5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Continue specification of all identified services</w:t>
            </w:r>
          </w:p>
          <w:p w14:paraId="103AB1A6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Test</w:t>
            </w:r>
          </w:p>
          <w:p w14:paraId="103AB1A7" w14:textId="77777777" w:rsidR="00F32542" w:rsidRDefault="00E126B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Complete specifications</w:t>
            </w:r>
          </w:p>
        </w:tc>
      </w:tr>
      <w:tr w:rsidR="00F32542" w14:paraId="103AB1AD" w14:textId="77777777">
        <w:trPr>
          <w:cantSplit/>
          <w:trHeight w:val="65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A9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Expected numbers of sessions for completion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AA" w14:textId="77777777" w:rsidR="00F32542" w:rsidRDefault="00E126B8">
            <w:pPr>
              <w:pStyle w:val="BodyText3"/>
              <w:widowControl w:val="0"/>
              <w:spacing w:before="6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Session number:</w:t>
            </w:r>
          </w:p>
          <w:p w14:paraId="103AB1AB" w14:textId="77777777" w:rsidR="00F32542" w:rsidRDefault="00E126B8">
            <w:pPr>
              <w:pStyle w:val="BodyText3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left" w:pos="1092"/>
                <w:tab w:val="left" w:pos="2085"/>
                <w:tab w:val="left" w:pos="2935"/>
                <w:tab w:val="left" w:pos="3927"/>
                <w:tab w:val="left" w:pos="4920"/>
                <w:tab w:val="left" w:pos="6054"/>
              </w:tabs>
              <w:spacing w:before="60"/>
              <w:ind w:left="244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14" behindDoc="0" locked="0" layoutInCell="1" allowOverlap="1" wp14:anchorId="103AB1FC" wp14:editId="103AB1FD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5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1FC" id="Rectangle 365" o:spid="_x0000_s1026" style="position:absolute;left:0;text-align:left;margin-left:295.95pt;margin-top:13.3pt;width:21.95pt;height:21.95pt;z-index:1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" strokeweight=".26mm">
                      <v:textbox>
                        <w:txbxContent>
                          <w:p w14:paraId="103AB225" w14:textId="77777777" w:rsidR="00F32542" w:rsidRDefault="00E126B8">
                            <w:pPr>
                              <w:pStyle w:val="FrameContents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18" behindDoc="0" locked="0" layoutInCell="1" allowOverlap="1" wp14:anchorId="103AB1FE" wp14:editId="103AB1FF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7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6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1FE" id="Rectangle 364" o:spid="_x0000_s1027" style="position:absolute;left:0;text-align:left;margin-left:241.9pt;margin-top:13.3pt;width:21.95pt;height:21.95pt;z-index:1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" strokeweight=".26mm">
                      <v:textbox>
                        <w:txbxContent>
                          <w:p w14:paraId="103AB226" w14:textId="77777777" w:rsidR="00F32542" w:rsidRDefault="00E126B8">
                            <w:pPr>
                              <w:pStyle w:val="FrameContents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0" behindDoc="0" locked="0" layoutInCell="1" allowOverlap="1" wp14:anchorId="103AB200" wp14:editId="103AB20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9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7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?X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0" id="Rectangle 363" o:spid="_x0000_s1028" style="position:absolute;left:0;text-align:left;margin-left:188.95pt;margin-top:13.3pt;width:21.95pt;height:21.95pt;z-index:2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" strokeweight=".26mm">
                      <v:textbox>
                        <w:txbxContent>
                          <w:p w14:paraId="103AB227" w14:textId="77777777" w:rsidR="00F32542" w:rsidRDefault="00E126B8">
                            <w:pPr>
                              <w:pStyle w:val="FrameContents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?X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2" behindDoc="0" locked="0" layoutInCell="1" allowOverlap="1" wp14:anchorId="103AB202" wp14:editId="103AB203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11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8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nl-NL"/>
                                    </w:rPr>
                                    <w:t>X</w:t>
                                  </w:r>
                                </w:p>
                                <w:p w14:paraId="103AB229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XXX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2" id="Rectangle 362" o:spid="_x0000_s1029" style="position:absolute;left:0;text-align:left;margin-left:141.2pt;margin-top:13.3pt;width:21.95pt;height:21.95pt;z-index:2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" strokeweight=".26mm">
                      <v:textbox>
                        <w:txbxContent>
                          <w:p w14:paraId="103AB228" w14:textId="77777777" w:rsidR="00F32542" w:rsidRDefault="00E126B8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  <w:lang w:val="nl-NL"/>
                              </w:rPr>
                            </w:pPr>
                            <w:r>
                              <w:rPr>
                                <w:color w:val="000000"/>
                                <w:lang w:val="nl-NL"/>
                              </w:rPr>
                              <w:t>X</w:t>
                            </w:r>
                          </w:p>
                          <w:p w14:paraId="103AB229" w14:textId="77777777" w:rsidR="00F32542" w:rsidRDefault="00E126B8">
                            <w:pPr>
                              <w:pStyle w:val="FrameContents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4" behindDoc="0" locked="0" layoutInCell="1" allowOverlap="1" wp14:anchorId="103AB204" wp14:editId="103AB20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13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A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nl-NL"/>
                                    </w:rPr>
                                    <w:t>X</w:t>
                                  </w:r>
                                </w:p>
                                <w:p w14:paraId="103AB22B" w14:textId="77777777" w:rsidR="00F32542" w:rsidRDefault="00F32542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4" id="Rectangle 361" o:spid="_x0000_s1030" style="position:absolute;left:0;text-align:left;margin-left:96pt;margin-top:13.3pt;width:21.95pt;height:21.95pt;z-index:2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" strokeweight=".26mm">
                      <v:textbox>
                        <w:txbxContent>
                          <w:p w14:paraId="103AB22A" w14:textId="77777777" w:rsidR="00F32542" w:rsidRDefault="00E126B8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  <w:lang w:val="nl-NL"/>
                              </w:rPr>
                            </w:pPr>
                            <w:r>
                              <w:rPr>
                                <w:color w:val="000000"/>
                                <w:lang w:val="nl-NL"/>
                              </w:rPr>
                              <w:t>X</w:t>
                            </w:r>
                          </w:p>
                          <w:p w14:paraId="103AB22B" w14:textId="77777777" w:rsidR="00F32542" w:rsidRDefault="00F32542">
                            <w:pPr>
                              <w:pStyle w:val="FrameContents"/>
                              <w:widowControl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6" behindDoc="0" locked="0" layoutInCell="1" allowOverlap="1" wp14:anchorId="103AB206" wp14:editId="103AB20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15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C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6" id="Rectangle 360" o:spid="_x0000_s1031" style="position:absolute;left:0;text-align:left;margin-left:50.8pt;margin-top:13.3pt;width:21.95pt;height:21.95pt;z-index:2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" strokeweight=".26mm">
                      <v:textbox>
                        <w:txbxContent>
                          <w:p w14:paraId="103AB22C" w14:textId="77777777" w:rsidR="00F32542" w:rsidRDefault="00E126B8">
                            <w:pPr>
                              <w:pStyle w:val="FrameContents"/>
                              <w:widowControl w:val="0"/>
                            </w:pP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8" behindDoc="0" locked="0" layoutInCell="1" allowOverlap="1" wp14:anchorId="103AB208" wp14:editId="103AB20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168910</wp:posOffset>
                      </wp:positionV>
                      <wp:extent cx="278765" cy="278765"/>
                      <wp:effectExtent l="0" t="0" r="0" b="0"/>
                      <wp:wrapNone/>
                      <wp:docPr id="17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80" cy="2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D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8" id="Rectangle 366" o:spid="_x0000_s1032" style="position:absolute;left:0;text-align:left;margin-left:2.5pt;margin-top:13.3pt;width:21.95pt;height:21.95pt;z-index:2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" strokeweight=".26mm">
                      <v:textbox>
                        <w:txbxContent>
                          <w:p w14:paraId="103AB22D" w14:textId="77777777" w:rsidR="00F32542" w:rsidRDefault="00E126B8">
                            <w:pPr>
                              <w:pStyle w:val="FrameContents"/>
                              <w:widowControl w:val="0"/>
                            </w:pP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>54</w:t>
            </w:r>
            <w:r>
              <w:rPr>
                <w:sz w:val="20"/>
              </w:rPr>
              <w:tab/>
              <w:t>55</w:t>
            </w:r>
            <w:r>
              <w:rPr>
                <w:sz w:val="20"/>
              </w:rPr>
              <w:tab/>
              <w:t>56</w:t>
            </w:r>
            <w:r>
              <w:rPr>
                <w:sz w:val="20"/>
              </w:rPr>
              <w:tab/>
              <w:t>57</w:t>
            </w:r>
            <w:r>
              <w:rPr>
                <w:sz w:val="20"/>
              </w:rPr>
              <w:tab/>
              <w:t>58</w:t>
            </w:r>
            <w:r>
              <w:rPr>
                <w:sz w:val="20"/>
              </w:rPr>
              <w:tab/>
              <w:t>59</w:t>
            </w:r>
            <w:r>
              <w:rPr>
                <w:sz w:val="20"/>
              </w:rPr>
              <w:tab/>
              <w:t>60</w:t>
            </w:r>
          </w:p>
          <w:p w14:paraId="103AB1AC" w14:textId="77777777" w:rsidR="00F32542" w:rsidRDefault="00F3254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24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32542" w14:paraId="103AB1B5" w14:textId="77777777">
        <w:trPr>
          <w:cantSplit/>
          <w:trHeight w:val="34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AE" w14:textId="77777777" w:rsidR="00F32542" w:rsidRDefault="00E126B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Committee notes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AF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Origins /Input paper</w:t>
            </w:r>
          </w:p>
          <w:p w14:paraId="103AB1B0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Who proposed the task?</w:t>
            </w:r>
          </w:p>
          <w:p w14:paraId="103AB1B1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Forwarded from previous work period: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2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name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 xml:space="preserve"> of file)</w:t>
            </w:r>
          </w:p>
          <w:p w14:paraId="103AB1B3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</w:t>
            </w:r>
            <w:r>
              <w:rPr>
                <w:bCs/>
                <w:iCs/>
                <w:sz w:val="20"/>
                <w:szCs w:val="20"/>
              </w:rPr>
              <w:t>PAP   </w:t>
            </w:r>
            <w:r>
              <w:fldChar w:fldCharType="end"/>
            </w:r>
            <w:r>
              <w:rPr>
                <w:bCs/>
                <w:i/>
                <w:iCs/>
                <w:sz w:val="16"/>
                <w:szCs w:val="16"/>
              </w:rPr>
              <w:t xml:space="preserve"> (name of organisation)</w:t>
            </w:r>
          </w:p>
          <w:p w14:paraId="103AB1B4" w14:textId="77777777" w:rsidR="00F32542" w:rsidRDefault="00E126B8">
            <w:pPr>
              <w:widowControl w:val="0"/>
              <w:tabs>
                <w:tab w:val="left" w:pos="457"/>
                <w:tab w:val="left" w:pos="1875"/>
                <w:tab w:val="left" w:pos="2880"/>
              </w:tabs>
              <w:spacing w:before="300" w:after="60"/>
              <w:jc w:val="both"/>
              <w:rPr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16" behindDoc="0" locked="0" layoutInCell="1" allowOverlap="1" wp14:anchorId="103AB20A" wp14:editId="103AB2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73660</wp:posOffset>
                      </wp:positionV>
                      <wp:extent cx="194945" cy="210185"/>
                      <wp:effectExtent l="0" t="0" r="0" b="0"/>
                      <wp:wrapNone/>
                      <wp:docPr id="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2E" w14:textId="77777777" w:rsidR="00F32542" w:rsidRDefault="00F32542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  <w:p w14:paraId="103AB22F" w14:textId="77777777" w:rsidR="00F32542" w:rsidRDefault="00F32542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A" id="Rectangle 1" o:spid="_x0000_s1033" style="position:absolute;left:0;text-align:left;margin-left:.1pt;margin-top:5.8pt;width:15.35pt;height:16.55pt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" fillcolor="#e7e6e6" strokeweight=".26mm">
                      <v:textbox>
                        <w:txbxContent>
                          <w:p w14:paraId="103AB22E" w14:textId="77777777" w:rsidR="00F32542" w:rsidRDefault="00F32542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103AB22F" w14:textId="77777777" w:rsidR="00F32542" w:rsidRDefault="00F32542">
                            <w:pPr>
                              <w:pStyle w:val="FrameContents"/>
                              <w:widowControl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30" behindDoc="0" locked="0" layoutInCell="1" allowOverlap="1" wp14:anchorId="103AB20C" wp14:editId="103AB20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75565</wp:posOffset>
                      </wp:positionV>
                      <wp:extent cx="194945" cy="210185"/>
                      <wp:effectExtent l="0" t="0" r="0" b="0"/>
                      <wp:wrapNone/>
                      <wp:docPr id="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03AB230" w14:textId="77777777" w:rsidR="00F32542" w:rsidRDefault="00E126B8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nl-NL"/>
                                    </w:rPr>
                                    <w:t>X</w:t>
                                  </w:r>
                                </w:p>
                                <w:p w14:paraId="103AB231" w14:textId="77777777" w:rsidR="00F32542" w:rsidRDefault="00F32542">
                                  <w:pPr>
                                    <w:pStyle w:val="FrameContents"/>
                                    <w:widowControl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AB20C" id="Rectangle 2" o:spid="_x0000_s1034" style="position:absolute;left:0;text-align:left;margin-left:71.25pt;margin-top:5.95pt;width:15.35pt;height:16.55pt;z-index:3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" fillcolor="#e7e6e6" strokeweight=".26mm">
                      <v:textbox>
                        <w:txbxContent>
                          <w:p w14:paraId="103AB230" w14:textId="77777777" w:rsidR="00F32542" w:rsidRDefault="00E126B8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X</w:t>
                            </w:r>
                          </w:p>
                          <w:p w14:paraId="103AB231" w14:textId="77777777" w:rsidR="00F32542" w:rsidRDefault="00F32542">
                            <w:pPr>
                              <w:pStyle w:val="FrameContents"/>
                              <w:widowControl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iCs/>
                <w:sz w:val="20"/>
                <w:szCs w:val="20"/>
              </w:rPr>
              <w:tab/>
              <w:t>Yes</w:t>
            </w:r>
            <w:r>
              <w:rPr>
                <w:bCs/>
                <w:iCs/>
                <w:sz w:val="16"/>
                <w:szCs w:val="16"/>
              </w:rPr>
              <w:tab/>
            </w:r>
            <w:r>
              <w:rPr>
                <w:bCs/>
                <w:iCs/>
                <w:sz w:val="20"/>
                <w:szCs w:val="20"/>
              </w:rPr>
              <w:t>No</w:t>
            </w:r>
          </w:p>
        </w:tc>
      </w:tr>
      <w:tr w:rsidR="00F32542" w14:paraId="103AB1BA" w14:textId="77777777">
        <w:trPr>
          <w:cantSplit/>
          <w:trHeight w:val="342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6" w14:textId="77777777" w:rsidR="00F32542" w:rsidRDefault="00F3254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7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Working Group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8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WG#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Cs/>
                <w:sz w:val="20"/>
                <w:szCs w:val="20"/>
              </w:rPr>
              <w:instrText>FORMTEXT</w:instrTex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</w:t>
            </w:r>
            <w:r>
              <w:rPr>
                <w:bCs/>
                <w:iCs/>
                <w:sz w:val="20"/>
                <w:szCs w:val="20"/>
              </w:rPr>
              <w:t>2   </w:t>
            </w:r>
            <w:r>
              <w:rPr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9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Comments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Cs/>
                <w:sz w:val="20"/>
                <w:szCs w:val="20"/>
              </w:rPr>
              <w:instrText>FORMTEXT</w:instrTex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rPr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F32542" w14:paraId="103AB1BF" w14:textId="77777777">
        <w:trPr>
          <w:cantSplit/>
          <w:trHeight w:val="48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B" w14:textId="77777777" w:rsidR="00F32542" w:rsidRDefault="00F32542">
            <w:pPr>
              <w:widowControl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C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Agreed by VTS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Cte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D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 xml:space="preserve">(VTS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Cte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 Se</w:t>
            </w:r>
            <w:r>
              <w:rPr>
                <w:bCs/>
                <w:i/>
                <w:iCs/>
                <w:sz w:val="16"/>
                <w:szCs w:val="16"/>
              </w:rPr>
              <w:t>ssion)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BE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(Month &amp; Year)</w:t>
            </w:r>
          </w:p>
        </w:tc>
      </w:tr>
      <w:tr w:rsidR="00F32542" w14:paraId="103AB1C4" w14:textId="77777777">
        <w:trPr>
          <w:cantSplit/>
          <w:trHeight w:val="48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0" w14:textId="77777777" w:rsidR="00F32542" w:rsidRDefault="00F32542">
            <w:pPr>
              <w:widowControl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1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Approved by Council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2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(Council Session)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3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(Month &amp; Year)</w:t>
            </w:r>
          </w:p>
        </w:tc>
      </w:tr>
      <w:tr w:rsidR="00F32542" w14:paraId="103AB1C8" w14:textId="77777777">
        <w:trPr>
          <w:cantSplit/>
          <w:trHeight w:val="48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5" w14:textId="77777777" w:rsidR="00F32542" w:rsidRDefault="00F32542">
            <w:pPr>
              <w:widowControl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6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Revision Notes: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AB1C7" w14:textId="77777777" w:rsidR="00F32542" w:rsidRDefault="00E126B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rPr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3AB1C9" w14:textId="77777777" w:rsidR="00F32542" w:rsidRDefault="00E126B8">
      <w:pPr>
        <w:spacing w:before="240" w:after="240"/>
        <w:jc w:val="center"/>
        <w:rPr>
          <w:color w:val="4F81BD"/>
          <w:lang w:eastAsia="en-US"/>
        </w:rPr>
      </w:pPr>
      <w:r>
        <w:br w:type="page"/>
      </w:r>
    </w:p>
    <w:p w14:paraId="103AB1CA" w14:textId="77777777" w:rsidR="00F32542" w:rsidRDefault="00E126B8">
      <w:pPr>
        <w:pStyle w:val="Annex"/>
        <w:jc w:val="center"/>
      </w:pPr>
      <w:proofErr w:type="gramStart"/>
      <w:r>
        <w:t>ANNEX  B</w:t>
      </w:r>
      <w:proofErr w:type="gramEnd"/>
    </w:p>
    <w:p w14:paraId="103AB1CB" w14:textId="70A2339E" w:rsidR="00F32542" w:rsidRDefault="00E126B8">
      <w:r>
        <w:t xml:space="preserve">The purpose is the develop a suite of technical service specification that can be implemented at </w:t>
      </w:r>
      <w:proofErr w:type="gramStart"/>
      <w:r>
        <w:t xml:space="preserve">VTS </w:t>
      </w:r>
      <w:r>
        <w:t xml:space="preserve"> </w:t>
      </w:r>
      <w:proofErr w:type="spellStart"/>
      <w:r>
        <w:t>centers</w:t>
      </w:r>
      <w:proofErr w:type="spellEnd"/>
      <w:proofErr w:type="gramEnd"/>
      <w:r>
        <w:t xml:space="preserve"> </w:t>
      </w:r>
      <w:r>
        <w:t>and facilitate exchange of digital information between VTS and re</w:t>
      </w:r>
      <w:r>
        <w:t>levant systems - mainly including ECDIS.</w:t>
      </w:r>
    </w:p>
    <w:p w14:paraId="103AB1CC" w14:textId="77777777" w:rsidR="00F32542" w:rsidRDefault="00F32542"/>
    <w:p w14:paraId="103AB1CD" w14:textId="77777777" w:rsidR="00F32542" w:rsidRDefault="00E126B8">
      <w:r>
        <w:t>The most basic guideline/standards and other relevant documents will be</w:t>
      </w:r>
    </w:p>
    <w:p w14:paraId="103AB1CE" w14:textId="77777777" w:rsidR="00F32542" w:rsidRDefault="00F32542"/>
    <w:p w14:paraId="103AB1CF" w14:textId="77777777" w:rsidR="00F32542" w:rsidRDefault="00E126B8">
      <w:pPr>
        <w:ind w:left="709"/>
      </w:pPr>
      <w:hyperlink r:id="rId15">
        <w:r>
          <w:rPr>
            <w:rStyle w:val="Hyperlink"/>
            <w:color w:val="000080"/>
            <w:u w:val="single"/>
          </w:rPr>
          <w:t>G1128</w:t>
        </w:r>
      </w:hyperlink>
      <w:r>
        <w:t xml:space="preserve"> - The specification of e-Navigation technical services</w:t>
      </w:r>
    </w:p>
    <w:p w14:paraId="103AB1D0" w14:textId="77777777" w:rsidR="00F32542" w:rsidRDefault="00E126B8">
      <w:pPr>
        <w:ind w:left="709"/>
      </w:pPr>
      <w:r>
        <w:t xml:space="preserve">This is the overall technology agnostic guideline that the </w:t>
      </w:r>
      <w:r>
        <w:t>specifications should follow</w:t>
      </w:r>
    </w:p>
    <w:p w14:paraId="103AB1D1" w14:textId="77777777" w:rsidR="00F32542" w:rsidRDefault="00F32542"/>
    <w:p w14:paraId="103AB1D2" w14:textId="19A32791" w:rsidR="00F32542" w:rsidRDefault="00E126B8">
      <w:pPr>
        <w:ind w:left="709"/>
      </w:pPr>
      <w:r>
        <w:t xml:space="preserve">S-XXX - The </w:t>
      </w:r>
      <w:proofErr w:type="spellStart"/>
      <w:r>
        <w:t>datamodels</w:t>
      </w:r>
      <w:proofErr w:type="spellEnd"/>
      <w:r>
        <w:t xml:space="preserve"> for the services will (most likely) be taken from the appropriate S-100 - primarily </w:t>
      </w:r>
      <w:hyperlink r:id="rId16">
        <w:r>
          <w:rPr>
            <w:rStyle w:val="Hyperlink"/>
            <w:color w:val="000080"/>
            <w:u w:val="single"/>
          </w:rPr>
          <w:t>S-212</w:t>
        </w:r>
      </w:hyperlink>
      <w:hyperlink r:id="rId17">
        <w:r>
          <w:rPr>
            <w:rStyle w:val="Hyperlink"/>
            <w:color w:val="000080"/>
            <w:u w:val="single"/>
          </w:rPr>
          <w:t xml:space="preserve"> </w:t>
        </w:r>
      </w:hyperlink>
      <w:r>
        <w:rPr>
          <w:rStyle w:val="Hyperlink"/>
          <w:color w:val="000080"/>
          <w:u w:val="single"/>
        </w:rPr>
        <w:t>–</w:t>
      </w:r>
      <w:r>
        <w:rPr>
          <w:rStyle w:val="Hyperlink"/>
          <w:color w:val="000080"/>
          <w:u w:val="single"/>
        </w:rPr>
        <w:t xml:space="preserve"> </w:t>
      </w:r>
      <w:r>
        <w:rPr>
          <w:rStyle w:val="Hyperlink"/>
          <w:color w:val="000080"/>
          <w:u w:val="single"/>
        </w:rPr>
        <w:t xml:space="preserve">VTS </w:t>
      </w:r>
      <w:r>
        <w:rPr>
          <w:rStyle w:val="Hyperlink"/>
          <w:color w:val="000080"/>
          <w:u w:val="single"/>
        </w:rPr>
        <w:t>Digital information service product specification</w:t>
      </w:r>
      <w:r>
        <w:t>, which is under development in another VTS task group</w:t>
      </w:r>
    </w:p>
    <w:p w14:paraId="103AB1D3" w14:textId="77777777" w:rsidR="00F32542" w:rsidRDefault="00F32542">
      <w:pPr>
        <w:ind w:left="709"/>
      </w:pPr>
    </w:p>
    <w:p w14:paraId="103AB1D4" w14:textId="77777777" w:rsidR="00F32542" w:rsidRDefault="00E126B8">
      <w:pPr>
        <w:ind w:left="709"/>
      </w:pPr>
      <w:r>
        <w:t xml:space="preserve">The overall description of the </w:t>
      </w:r>
      <w:hyperlink r:id="rId18">
        <w:r>
          <w:rPr>
            <w:rStyle w:val="Hyperlink"/>
            <w:color w:val="000080"/>
            <w:u w:val="single"/>
          </w:rPr>
          <w:t>Maritime Service</w:t>
        </w:r>
        <w:r>
          <w:rPr>
            <w:rStyle w:val="Hyperlink"/>
            <w:color w:val="000080"/>
            <w:u w:val="single"/>
          </w:rPr>
          <w:t xml:space="preserve"> Description for VTS</w:t>
        </w:r>
      </w:hyperlink>
    </w:p>
    <w:p w14:paraId="103AB1D5" w14:textId="1ACB7938" w:rsidR="00F32542" w:rsidRDefault="00E126B8">
      <w:pPr>
        <w:ind w:left="709"/>
      </w:pPr>
      <w:r>
        <w:t xml:space="preserve">The document </w:t>
      </w:r>
      <w:proofErr w:type="gramStart"/>
      <w:r>
        <w:t>makes reference</w:t>
      </w:r>
      <w:proofErr w:type="gramEnd"/>
      <w:r>
        <w:t xml:space="preserve"> to (</w:t>
      </w:r>
      <w:r>
        <w:t>identifies</w:t>
      </w:r>
      <w:r>
        <w:t xml:space="preserve">) the </w:t>
      </w:r>
      <w:proofErr w:type="spellStart"/>
      <w:r>
        <w:t>technicial</w:t>
      </w:r>
      <w:r>
        <w:t>services</w:t>
      </w:r>
      <w:proofErr w:type="spellEnd"/>
      <w:r>
        <w:t xml:space="preserve"> that this group will specify</w:t>
      </w:r>
    </w:p>
    <w:p w14:paraId="103AB1D6" w14:textId="77777777" w:rsidR="00F32542" w:rsidRDefault="00F32542">
      <w:pPr>
        <w:ind w:left="709"/>
      </w:pPr>
    </w:p>
    <w:p w14:paraId="103AB1D7" w14:textId="77777777" w:rsidR="00F32542" w:rsidRDefault="00E126B8">
      <w:pPr>
        <w:ind w:left="709"/>
      </w:pPr>
      <w:hyperlink r:id="rId19">
        <w:r>
          <w:rPr>
            <w:rStyle w:val="Hyperlink"/>
            <w:color w:val="000080"/>
            <w:u w:val="single"/>
          </w:rPr>
          <w:t>G1143</w:t>
        </w:r>
      </w:hyperlink>
      <w:r>
        <w:t xml:space="preserve"> - Unique identifiers for maritime resources (MRN)</w:t>
      </w:r>
    </w:p>
    <w:p w14:paraId="103AB1D8" w14:textId="0AF6246D" w:rsidR="00F32542" w:rsidRDefault="00E126B8">
      <w:pPr>
        <w:ind w:left="709"/>
      </w:pPr>
      <w:r>
        <w:t xml:space="preserve">Everything (Data, the services </w:t>
      </w:r>
      <w:proofErr w:type="spellStart"/>
      <w:r>
        <w:t>them selves</w:t>
      </w:r>
      <w:proofErr w:type="spellEnd"/>
      <w:r>
        <w:t xml:space="preserve">, etc) needing a unique </w:t>
      </w:r>
      <w:r>
        <w:t>identifier</w:t>
      </w:r>
      <w:r>
        <w:t xml:space="preserve"> </w:t>
      </w:r>
      <w:r>
        <w:t>will be given an (one or more) MRN</w:t>
      </w:r>
    </w:p>
    <w:p w14:paraId="103AB1D9" w14:textId="77777777" w:rsidR="00F32542" w:rsidRDefault="00F32542">
      <w:pPr>
        <w:ind w:left="709"/>
      </w:pPr>
    </w:p>
    <w:p w14:paraId="103AB1DA" w14:textId="77777777" w:rsidR="00F32542" w:rsidRDefault="00E126B8">
      <w:pPr>
        <w:ind w:left="709"/>
      </w:pPr>
      <w:hyperlink r:id="rId20">
        <w:r>
          <w:rPr>
            <w:rStyle w:val="Hyperlink"/>
            <w:color w:val="000080"/>
            <w:u w:val="single"/>
          </w:rPr>
          <w:t>G1157</w:t>
        </w:r>
      </w:hyperlink>
      <w:r>
        <w:t xml:space="preserve"> - Web Service Based S-100 Data Exchange</w:t>
      </w:r>
    </w:p>
    <w:p w14:paraId="103AB1DB" w14:textId="77777777" w:rsidR="00F32542" w:rsidRDefault="00E126B8">
      <w:pPr>
        <w:ind w:left="709"/>
      </w:pPr>
      <w:r>
        <w:t xml:space="preserve">Describes how to make G1128 services using internet technology - </w:t>
      </w:r>
      <w:proofErr w:type="gramStart"/>
      <w:r>
        <w:t>i.e.</w:t>
      </w:r>
      <w:proofErr w:type="gramEnd"/>
      <w:r>
        <w:t xml:space="preserve"> less technology agnostic.</w:t>
      </w:r>
    </w:p>
    <w:p w14:paraId="103AB1DC" w14:textId="77777777" w:rsidR="00F32542" w:rsidRDefault="00F32542">
      <w:pPr>
        <w:ind w:left="709"/>
      </w:pPr>
    </w:p>
    <w:p w14:paraId="103AB1DD" w14:textId="77777777" w:rsidR="00F32542" w:rsidRDefault="00E126B8">
      <w:pPr>
        <w:ind w:left="709"/>
      </w:pPr>
      <w:hyperlink r:id="rId21">
        <w:r>
          <w:rPr>
            <w:rStyle w:val="Hyperlink"/>
            <w:color w:val="000080"/>
            <w:u w:val="single"/>
          </w:rPr>
          <w:t>G1161</w:t>
        </w:r>
      </w:hyperlink>
      <w:r>
        <w:t xml:space="preserve"> - Evaluation-of-Platforms-for-the-Provision-of-Maritime-Services</w:t>
      </w:r>
    </w:p>
    <w:p w14:paraId="103AB1DE" w14:textId="77777777" w:rsidR="00F32542" w:rsidRDefault="00E126B8">
      <w:pPr>
        <w:ind w:left="709"/>
      </w:pPr>
      <w:r>
        <w:t>A guideline that established the need for a platform that facilitates authentication of service provider/co</w:t>
      </w:r>
      <w:r>
        <w:t xml:space="preserve">nsumer and service discoverability among other things, </w:t>
      </w:r>
      <w:proofErr w:type="gramStart"/>
      <w:r>
        <w:t>i.e.</w:t>
      </w:r>
      <w:proofErr w:type="gramEnd"/>
      <w:r>
        <w:t xml:space="preserve"> the </w:t>
      </w:r>
      <w:hyperlink r:id="rId22">
        <w:r>
          <w:rPr>
            <w:rStyle w:val="Hyperlink"/>
            <w:color w:val="000080"/>
            <w:u w:val="single"/>
          </w:rPr>
          <w:t>Maritime Connectivity Platform</w:t>
        </w:r>
      </w:hyperlink>
      <w:r>
        <w:t>.</w:t>
      </w:r>
    </w:p>
    <w:p w14:paraId="103AB1DF" w14:textId="77777777" w:rsidR="00F32542" w:rsidRDefault="00F32542">
      <w:pPr>
        <w:ind w:left="709"/>
      </w:pPr>
    </w:p>
    <w:p w14:paraId="103AB1E0" w14:textId="77777777" w:rsidR="00F32542" w:rsidRDefault="00E126B8">
      <w:pPr>
        <w:ind w:left="709"/>
      </w:pPr>
      <w:hyperlink r:id="rId23">
        <w:r>
          <w:rPr>
            <w:rStyle w:val="Hyperlink"/>
            <w:color w:val="000080"/>
            <w:u w:val="single"/>
          </w:rPr>
          <w:t>IEC 63173-2</w:t>
        </w:r>
      </w:hyperlink>
      <w:hyperlink r:id="rId24">
        <w:r>
          <w:rPr>
            <w:rStyle w:val="Hyperlink"/>
            <w:color w:val="000080"/>
            <w:u w:val="single"/>
          </w:rPr>
          <w:t xml:space="preserve"> SECOM</w:t>
        </w:r>
      </w:hyperlink>
      <w:r>
        <w:t xml:space="preserve"> - Secure exchange and communication of S-100 based products</w:t>
      </w:r>
    </w:p>
    <w:p w14:paraId="103AB1E1" w14:textId="77777777" w:rsidR="00F32542" w:rsidRDefault="00E126B8">
      <w:pPr>
        <w:ind w:left="709"/>
      </w:pPr>
      <w:r>
        <w:t xml:space="preserve">A standard that follows both G1128 and G1143, and in detail describes how to specify a service that facilitates data exchange between a shore entity and a ship </w:t>
      </w:r>
      <w:r>
        <w:t>(ECDIS)</w:t>
      </w:r>
    </w:p>
    <w:p w14:paraId="103AB1E2" w14:textId="1FE01D3A" w:rsidR="00F32542" w:rsidRDefault="00E126B8">
      <w:pPr>
        <w:ind w:left="709"/>
      </w:pPr>
      <w:r>
        <w:t xml:space="preserve">It is the expectation that a revised ECDIS performance standard will </w:t>
      </w:r>
      <w:r>
        <w:t xml:space="preserve">refer </w:t>
      </w:r>
      <w:r>
        <w:t>to this IEC standard - and thus make it possible to deliver S-100 data (including VTS) directly to the ECDIS.</w:t>
      </w:r>
    </w:p>
    <w:p w14:paraId="103AB1E3" w14:textId="77777777" w:rsidR="00F32542" w:rsidRDefault="00F32542">
      <w:pPr>
        <w:ind w:left="709"/>
      </w:pPr>
    </w:p>
    <w:p w14:paraId="103AB1E4" w14:textId="77777777" w:rsidR="00F32542" w:rsidRDefault="00E126B8">
      <w:pPr>
        <w:ind w:left="709"/>
      </w:pPr>
      <w:r>
        <w:t>Draft technical service for providing AtoN info</w:t>
      </w:r>
      <w:r>
        <w:t>rmation is being developed</w:t>
      </w:r>
    </w:p>
    <w:p w14:paraId="103AB1E5" w14:textId="73CDF350" w:rsidR="00F32542" w:rsidRDefault="00E126B8">
      <w:pPr>
        <w:ind w:left="709"/>
      </w:pPr>
      <w:r>
        <w:t>This is being developed by a joint ARM/</w:t>
      </w:r>
      <w:proofErr w:type="gramStart"/>
      <w:r>
        <w:t xml:space="preserve">ENAV </w:t>
      </w:r>
      <w:r>
        <w:t xml:space="preserve"> task</w:t>
      </w:r>
      <w:proofErr w:type="gramEnd"/>
      <w:r>
        <w:t xml:space="preserve"> groups</w:t>
      </w:r>
    </w:p>
    <w:p w14:paraId="103AB1E6" w14:textId="77777777" w:rsidR="00F32542" w:rsidRDefault="00E126B8">
      <w:pPr>
        <w:ind w:left="709"/>
      </w:pPr>
      <w:r>
        <w:t xml:space="preserve">The specification can be found </w:t>
      </w:r>
      <w:hyperlink r:id="rId25">
        <w:r>
          <w:rPr>
            <w:rStyle w:val="Hyperlink"/>
            <w:color w:val="000080"/>
            <w:u w:val="single"/>
          </w:rPr>
          <w:t>here</w:t>
        </w:r>
      </w:hyperlink>
    </w:p>
    <w:p w14:paraId="103AB1E7" w14:textId="77777777" w:rsidR="00F32542" w:rsidRDefault="00E126B8">
      <w:pPr>
        <w:ind w:left="709"/>
      </w:pPr>
      <w:r>
        <w:t xml:space="preserve">In a sub-directory, there is also a draft IHO technical </w:t>
      </w:r>
      <w:r>
        <w:t xml:space="preserve">service specification for the provision of navigational warnings using the </w:t>
      </w:r>
      <w:proofErr w:type="spellStart"/>
      <w:r>
        <w:t>datamodel</w:t>
      </w:r>
      <w:proofErr w:type="spellEnd"/>
      <w:r>
        <w:t xml:space="preserve"> from S124. This is a more mature specification, and the AtoN specification has been using that as inspiration</w:t>
      </w:r>
    </w:p>
    <w:p w14:paraId="103AB1E8" w14:textId="77777777" w:rsidR="00F32542" w:rsidRDefault="00F32542"/>
    <w:p w14:paraId="103AB1E9" w14:textId="3EFC3B93" w:rsidR="00F32542" w:rsidRDefault="00E126B8">
      <w:r>
        <w:t>In addition to the above guidelines/documents describing how</w:t>
      </w:r>
      <w:r>
        <w:t xml:space="preserve"> to develop the technical services </w:t>
      </w:r>
      <w:r>
        <w:t xml:space="preserve">several </w:t>
      </w:r>
      <w:r>
        <w:t xml:space="preserve">VTS document will be relevant both </w:t>
      </w:r>
      <w:proofErr w:type="gramStart"/>
      <w:r>
        <w:t>with regard to</w:t>
      </w:r>
      <w:proofErr w:type="gramEnd"/>
      <w:r>
        <w:t xml:space="preserve"> the identification of the technical services from requirements / use-cases and possible some that we may wish to influence by making references to th</w:t>
      </w:r>
      <w:r>
        <w:t>e technical services we will be specifying.</w:t>
      </w:r>
    </w:p>
    <w:p w14:paraId="103AB1EA" w14:textId="77777777" w:rsidR="00F32542" w:rsidRDefault="00F32542"/>
    <w:p w14:paraId="103AB1EB" w14:textId="6D864573" w:rsidR="00F32542" w:rsidRDefault="00E126B8">
      <w:pPr>
        <w:ind w:left="709"/>
      </w:pPr>
      <w:hyperlink r:id="rId26">
        <w:r>
          <w:rPr>
            <w:rStyle w:val="Hyperlink"/>
            <w:color w:val="000080"/>
            <w:u w:val="single"/>
          </w:rPr>
          <w:t>G1141</w:t>
        </w:r>
      </w:hyperlink>
      <w:r>
        <w:t xml:space="preserve"> </w:t>
      </w:r>
      <w:r>
        <w:t>Operational Procedures for Delivering VTS</w:t>
      </w:r>
    </w:p>
    <w:p w14:paraId="103AB1EC" w14:textId="0A2DC374" w:rsidR="00F32542" w:rsidRDefault="00E126B8">
      <w:pPr>
        <w:ind w:left="709"/>
      </w:pPr>
      <w:r>
        <w:t xml:space="preserve">This is a very central IALA document regarding VTS. We should make sure that this </w:t>
      </w:r>
      <w:proofErr w:type="gramStart"/>
      <w:r>
        <w:t xml:space="preserve">document </w:t>
      </w:r>
      <w:r>
        <w:t xml:space="preserve"> refer</w:t>
      </w:r>
      <w:proofErr w:type="gramEnd"/>
      <w:r>
        <w:t xml:space="preserve"> </w:t>
      </w:r>
      <w:r>
        <w:t xml:space="preserve">to the technical service specifications that will be developed. This would ensure that VTS </w:t>
      </w:r>
      <w:r>
        <w:t xml:space="preserve">centres </w:t>
      </w:r>
      <w:r>
        <w:t xml:space="preserve">in the future will be implementing </w:t>
      </w:r>
      <w:r>
        <w:t>these services.</w:t>
      </w:r>
    </w:p>
    <w:p w14:paraId="103AB1ED" w14:textId="77777777" w:rsidR="00F32542" w:rsidRDefault="00F32542">
      <w:pPr>
        <w:ind w:left="709"/>
      </w:pPr>
    </w:p>
    <w:p w14:paraId="103AB1EE" w14:textId="77777777" w:rsidR="00F32542" w:rsidRDefault="00E126B8">
      <w:pPr>
        <w:ind w:left="709"/>
      </w:pPr>
      <w:hyperlink r:id="rId27">
        <w:r>
          <w:rPr>
            <w:rStyle w:val="Hyperlink"/>
            <w:color w:val="000080"/>
            <w:u w:val="single"/>
          </w:rPr>
          <w:t>G1089</w:t>
        </w:r>
      </w:hyperlink>
      <w:r>
        <w:t xml:space="preserve"> Provision of a VTS</w:t>
      </w:r>
    </w:p>
    <w:p w14:paraId="103AB1EF" w14:textId="77777777" w:rsidR="00F32542" w:rsidRDefault="00E126B8">
      <w:pPr>
        <w:ind w:left="709"/>
      </w:pPr>
      <w:r>
        <w:t>As the above - but perhaps an even more fundamental VTS document</w:t>
      </w:r>
    </w:p>
    <w:p w14:paraId="103AB1F0" w14:textId="77777777" w:rsidR="00F32542" w:rsidRDefault="00F32542">
      <w:pPr>
        <w:ind w:left="709"/>
      </w:pPr>
    </w:p>
    <w:p w14:paraId="103AB1F1" w14:textId="77777777" w:rsidR="00F32542" w:rsidRDefault="00E126B8">
      <w:pPr>
        <w:ind w:left="709"/>
      </w:pPr>
      <w:hyperlink r:id="rId28">
        <w:r>
          <w:rPr>
            <w:rStyle w:val="Hyperlink"/>
            <w:color w:val="000080"/>
            <w:u w:val="single"/>
          </w:rPr>
          <w:t>R0127</w:t>
        </w:r>
        <w:r>
          <w:rPr>
            <w:rStyle w:val="Hyperlink"/>
          </w:rPr>
          <w:t xml:space="preserve"> (V-127) VTS Operations</w:t>
        </w:r>
      </w:hyperlink>
      <w:r>
        <w:br/>
        <w:t>Describin</w:t>
      </w:r>
      <w:r>
        <w:t xml:space="preserve">g VTS on the highest level, </w:t>
      </w:r>
      <w:proofErr w:type="gramStart"/>
      <w:r>
        <w:t>making reference</w:t>
      </w:r>
      <w:proofErr w:type="gramEnd"/>
      <w:r>
        <w:t xml:space="preserve"> to more specific documents including G1141 and G1089</w:t>
      </w:r>
    </w:p>
    <w:p w14:paraId="103AB1F2" w14:textId="77777777" w:rsidR="00F32542" w:rsidRDefault="00F32542">
      <w:pPr>
        <w:ind w:left="709"/>
      </w:pPr>
    </w:p>
    <w:p w14:paraId="103AB1F3" w14:textId="77777777" w:rsidR="00F32542" w:rsidRPr="00E126B8" w:rsidRDefault="00E126B8">
      <w:pPr>
        <w:ind w:left="709"/>
        <w:rPr>
          <w:lang w:val="fr-FR"/>
        </w:rPr>
      </w:pPr>
      <w:hyperlink r:id="rId29">
        <w:r w:rsidRPr="00E126B8">
          <w:rPr>
            <w:rStyle w:val="Hyperlink"/>
            <w:color w:val="000080"/>
            <w:u w:val="single"/>
            <w:lang w:val="fr-FR"/>
          </w:rPr>
          <w:t>R0145</w:t>
        </w:r>
        <w:r w:rsidRPr="00E126B8">
          <w:rPr>
            <w:rStyle w:val="Hyperlink"/>
            <w:lang w:val="fr-FR"/>
          </w:rPr>
          <w:t xml:space="preserve"> INTER-VTS EXCHANGE FORMAT SERVICE (V-145)</w:t>
        </w:r>
      </w:hyperlink>
    </w:p>
    <w:p w14:paraId="103AB1F4" w14:textId="18AFDF5B" w:rsidR="00F32542" w:rsidRPr="00E126B8" w:rsidRDefault="00F32542">
      <w:pPr>
        <w:ind w:left="709"/>
        <w:rPr>
          <w:lang w:val="fr-FR"/>
        </w:rPr>
      </w:pPr>
    </w:p>
    <w:p w14:paraId="103AB1F5" w14:textId="77777777" w:rsidR="00F32542" w:rsidRPr="00E126B8" w:rsidRDefault="00F32542">
      <w:pPr>
        <w:rPr>
          <w:lang w:val="fr-FR"/>
        </w:rPr>
      </w:pPr>
    </w:p>
    <w:p w14:paraId="103AB1F6" w14:textId="77777777" w:rsidR="00F32542" w:rsidRPr="00E126B8" w:rsidRDefault="00F32542">
      <w:pPr>
        <w:rPr>
          <w:lang w:val="fr-FR"/>
        </w:rPr>
      </w:pPr>
    </w:p>
    <w:p w14:paraId="103AB1F7" w14:textId="77777777" w:rsidR="00F32542" w:rsidRDefault="00E126B8">
      <w:r>
        <w:t>Other possibly relevant guidelines:</w:t>
      </w:r>
    </w:p>
    <w:p w14:paraId="103AB1F8" w14:textId="77777777" w:rsidR="00F32542" w:rsidRDefault="00F32542"/>
    <w:p w14:paraId="103AB1F9" w14:textId="77777777" w:rsidR="00F32542" w:rsidRDefault="00E126B8">
      <w:pPr>
        <w:ind w:left="709"/>
      </w:pPr>
      <w:hyperlink r:id="rId30">
        <w:r>
          <w:rPr>
            <w:rStyle w:val="Hyperlink"/>
            <w:color w:val="000080"/>
            <w:u w:val="single"/>
          </w:rPr>
          <w:t>G1159</w:t>
        </w:r>
      </w:hyperlink>
      <w:r>
        <w:t xml:space="preserve"> – SHIP REPORTING FROM A SHORE-BASED PERSPECTIVE</w:t>
      </w:r>
    </w:p>
    <w:p w14:paraId="103AB1FA" w14:textId="77777777" w:rsidR="00F32542" w:rsidRDefault="00F32542">
      <w:pPr>
        <w:ind w:left="709"/>
      </w:pPr>
    </w:p>
    <w:p w14:paraId="103AB1FB" w14:textId="77777777" w:rsidR="00F32542" w:rsidRDefault="00E126B8">
      <w:pPr>
        <w:ind w:left="709"/>
      </w:pPr>
      <w:r>
        <w:t xml:space="preserve">The </w:t>
      </w:r>
      <w:hyperlink r:id="rId31">
        <w:r>
          <w:rPr>
            <w:rStyle w:val="Hyperlink"/>
            <w:color w:val="000080"/>
            <w:u w:val="single"/>
          </w:rPr>
          <w:t>IMO Compendium</w:t>
        </w:r>
      </w:hyperlink>
      <w:r>
        <w:t xml:space="preserve"> on Facilitation and Electronic Business</w:t>
      </w:r>
    </w:p>
    <w:sectPr w:rsidR="00F32542">
      <w:headerReference w:type="default" r:id="rId32"/>
      <w:footerReference w:type="default" r:id="rId33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B219" w14:textId="77777777" w:rsidR="00000000" w:rsidRDefault="00E126B8">
      <w:r>
        <w:separator/>
      </w:r>
    </w:p>
  </w:endnote>
  <w:endnote w:type="continuationSeparator" w:id="0">
    <w:p w14:paraId="103AB21B" w14:textId="77777777" w:rsidR="00000000" w:rsidRDefault="00E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 Bold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211" w14:textId="77777777" w:rsidR="00F32542" w:rsidRDefault="00E126B8">
    <w:pPr>
      <w:pStyle w:val="Footer"/>
    </w:pPr>
    <w:r>
      <w:rPr>
        <w:rFonts w:ascii="Calibri" w:hAnsi="Calibri"/>
        <w:sz w:val="20"/>
        <w:szCs w:val="20"/>
      </w:rPr>
      <w:t xml:space="preserve">Work on a technical service for provisioning of </w:t>
    </w:r>
    <w:proofErr w:type="gramStart"/>
    <w:r>
      <w:rPr>
        <w:rFonts w:ascii="Calibri" w:hAnsi="Calibri"/>
        <w:sz w:val="20"/>
        <w:szCs w:val="20"/>
      </w:rPr>
      <w:t>AtoN  information</w:t>
    </w:r>
    <w:proofErr w:type="gramEnd"/>
    <w:r>
      <w:rPr>
        <w:rFonts w:ascii="Calibri" w:hAnsi="Calibri"/>
      </w:rPr>
      <w:tab/>
    </w: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216" w14:textId="77777777" w:rsidR="00F32542" w:rsidRDefault="00E126B8">
    <w:pPr>
      <w:pStyle w:val="Footer"/>
    </w:pPr>
    <w:r>
      <w:rPr>
        <w:rFonts w:ascii="Calibri" w:hAnsi="Calibri"/>
        <w:sz w:val="20"/>
        <w:szCs w:val="20"/>
      </w:rPr>
      <w:t>Input paper title</w:t>
    </w:r>
    <w:r>
      <w:rPr>
        <w:rFonts w:ascii="Calibri" w:hAnsi="Calibri"/>
      </w:rPr>
      <w:tab/>
    </w:r>
    <w:r>
      <w:rPr>
        <w:rFonts w:ascii="Calibri" w:hAnsi="Calibri"/>
      </w:rPr>
      <w:fldChar w:fldCharType="begin"/>
    </w:r>
    <w:r>
      <w:rPr>
        <w:rFonts w:ascii="Calibri" w:hAnsi="Calibri"/>
      </w:rPr>
      <w:instrText>PAG</w:instrText>
    </w:r>
    <w:r>
      <w:rPr>
        <w:rFonts w:ascii="Calibri" w:hAnsi="Calibri"/>
      </w:rPr>
      <w:instrText>E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6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20E" w14:textId="77777777" w:rsidR="00F32542" w:rsidRDefault="00F32542">
      <w:pPr>
        <w:rPr>
          <w:sz w:val="12"/>
        </w:rPr>
      </w:pPr>
    </w:p>
  </w:footnote>
  <w:footnote w:type="continuationSeparator" w:id="0">
    <w:p w14:paraId="103AB20F" w14:textId="77777777" w:rsidR="00F32542" w:rsidRDefault="00F32542">
      <w:pPr>
        <w:rPr>
          <w:sz w:val="12"/>
        </w:rPr>
      </w:pPr>
    </w:p>
  </w:footnote>
  <w:footnote w:id="1">
    <w:p w14:paraId="103AB223" w14:textId="77777777" w:rsidR="00F32542" w:rsidRDefault="00E126B8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r>
        <w:rPr>
          <w:sz w:val="16"/>
          <w:szCs w:val="16"/>
        </w:rPr>
        <w:t>Input document number, to be assigned by the Committee Secretary</w:t>
      </w:r>
    </w:p>
  </w:footnote>
  <w:footnote w:id="2">
    <w:p w14:paraId="103AB224" w14:textId="77777777" w:rsidR="00F32542" w:rsidRDefault="00E126B8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r>
        <w:rPr>
          <w:sz w:val="16"/>
          <w:szCs w:val="16"/>
        </w:rPr>
        <w:t>Leave open if uncertain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210" w14:textId="77777777" w:rsidR="00F32542" w:rsidRDefault="00E126B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03AB217" wp14:editId="103AB2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105" cy="582930"/>
              <wp:effectExtent l="0" t="0" r="0" b="0"/>
              <wp:wrapNone/>
              <wp:docPr id="1" name="PowerPlusWaterMarkObject797706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6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PowerPlusWaterMarkObject79770658" o:spid="shape_0" path="m0,0l-2147483645,0l-2147483645,-2147483646l0,-2147483646xe" stroked="f" o:allowincell="f" style="position:absolute;margin-left:221.45pt;margin-top:345.6pt;width:46.05pt;height:49.35pt;mso-wrap-style:none;v-text-anchor:middle;mso-position-horizontal:center;mso-position-horizontal-relative:margin;mso-position-vertical:center;mso-position-vertical-relative:margin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9" behindDoc="0" locked="0" layoutInCell="0" allowOverlap="1" wp14:anchorId="103AB219" wp14:editId="103AB21A">
          <wp:simplePos x="0" y="0"/>
          <wp:positionH relativeFrom="column">
            <wp:posOffset>5447030</wp:posOffset>
          </wp:positionH>
          <wp:positionV relativeFrom="paragraph">
            <wp:posOffset>-427990</wp:posOffset>
          </wp:positionV>
          <wp:extent cx="574675" cy="5600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212" w14:textId="77777777" w:rsidR="00F32542" w:rsidRDefault="00E126B8">
    <w:pPr>
      <w:pStyle w:val="Header"/>
      <w:jc w:val="center"/>
    </w:pPr>
    <w:r>
      <w:rPr>
        <w:noProof/>
      </w:rPr>
      <w:drawing>
        <wp:anchor distT="0" distB="0" distL="114300" distR="114300" simplePos="0" relativeHeight="8" behindDoc="0" locked="0" layoutInCell="0" allowOverlap="1" wp14:anchorId="103AB21B" wp14:editId="103AB21C">
          <wp:simplePos x="0" y="0"/>
          <wp:positionH relativeFrom="column">
            <wp:posOffset>2523490</wp:posOffset>
          </wp:positionH>
          <wp:positionV relativeFrom="paragraph">
            <wp:posOffset>-405130</wp:posOffset>
          </wp:positionV>
          <wp:extent cx="852805" cy="8312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AB213" w14:textId="77777777" w:rsidR="00F32542" w:rsidRDefault="00F32542">
    <w:pPr>
      <w:pStyle w:val="Header"/>
      <w:jc w:val="center"/>
    </w:pPr>
  </w:p>
  <w:p w14:paraId="103AB214" w14:textId="77777777" w:rsidR="00F32542" w:rsidRDefault="00E126B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103AB21D" wp14:editId="103AB21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105" cy="582930"/>
              <wp:effectExtent l="0" t="0" r="0" b="0"/>
              <wp:wrapNone/>
              <wp:docPr id="4" name="PowerPlusWaterMarkObject797706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6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PowerPlusWaterMarkObject79770656" o:spid="shape_0" path="m0,0l-2147483645,0l-2147483645,-2147483646l0,-2147483646xe" stroked="f" o:allowincell="f" style="position:absolute;margin-left:221.45pt;margin-top:332.95pt;width:46.05pt;height:49.35pt;mso-wrap-style:none;v-text-anchor:middle;mso-position-horizontal:center;mso-position-horizontal-relative:margin;mso-position-vertical:center;mso-position-vertical-relative:margin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215" w14:textId="77777777" w:rsidR="00F32542" w:rsidRDefault="00E126B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103AB21F" wp14:editId="103AB2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105" cy="582930"/>
              <wp:effectExtent l="0" t="0" r="0" b="0"/>
              <wp:wrapNone/>
              <wp:docPr id="23" name="PowerPlusWaterMarkObject79770658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6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PowerPlusWaterMarkObject79770658_0" o:spid="shape_0" path="m0,0l-2147483645,0l-2147483645,-2147483646l0,-2147483646xe" stroked="f" o:allowincell="f" style="position:absolute;margin-left:217.9pt;margin-top:341.3pt;width:46.05pt;height:49.35pt;mso-wrap-style:none;v-text-anchor:middle;mso-position-horizontal:center;mso-position-horizontal-relative:margin;mso-position-vertical:center;mso-position-vertical-relative:margin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3" behindDoc="0" locked="0" layoutInCell="0" allowOverlap="1" wp14:anchorId="103AB221" wp14:editId="103AB222">
          <wp:simplePos x="0" y="0"/>
          <wp:positionH relativeFrom="column">
            <wp:posOffset>5447030</wp:posOffset>
          </wp:positionH>
          <wp:positionV relativeFrom="paragraph">
            <wp:posOffset>-427990</wp:posOffset>
          </wp:positionV>
          <wp:extent cx="574675" cy="560070"/>
          <wp:effectExtent l="0" t="0" r="0" b="0"/>
          <wp:wrapSquare wrapText="bothSides"/>
          <wp:docPr id="2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161"/>
    <w:multiLevelType w:val="multilevel"/>
    <w:tmpl w:val="B39E59B4"/>
    <w:lvl w:ilvl="0">
      <w:start w:val="1"/>
      <w:numFmt w:val="decimal"/>
      <w:pStyle w:val="Gruformel1"/>
      <w:lvlText w:val="APPENDIX %1"/>
      <w:lvlJc w:val="left"/>
      <w:pPr>
        <w:tabs>
          <w:tab w:val="num" w:pos="0"/>
        </w:tabs>
        <w:ind w:left="1701" w:hanging="1701"/>
      </w:pPr>
      <w:rPr>
        <w:rFonts w:ascii="Calibri" w:hAnsi="Calibri" w:cs="Times New Roman"/>
        <w:b/>
        <w:bCs/>
        <w:i w:val="0"/>
        <w:iCs w:val="0"/>
        <w:caps/>
        <w:strike w:val="0"/>
        <w:dstrike w:val="0"/>
        <w:vanish w:val="0"/>
        <w:color w:val="4F81BD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3D3CB7"/>
    <w:multiLevelType w:val="multilevel"/>
    <w:tmpl w:val="D7A6A924"/>
    <w:lvl w:ilvl="0">
      <w:start w:val="1"/>
      <w:numFmt w:val="bullet"/>
      <w:pStyle w:val="Bullet3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D42D8A"/>
    <w:multiLevelType w:val="multilevel"/>
    <w:tmpl w:val="A344159E"/>
    <w:lvl w:ilvl="0">
      <w:start w:val="1"/>
      <w:numFmt w:val="decimal"/>
      <w:pStyle w:val="Aufzhlungszeichen3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7C102C"/>
    <w:multiLevelType w:val="multilevel"/>
    <w:tmpl w:val="3C76D5B8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068C9"/>
    <w:multiLevelType w:val="multilevel"/>
    <w:tmpl w:val="68C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1C16EFA"/>
    <w:multiLevelType w:val="multilevel"/>
    <w:tmpl w:val="96D0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6AF1C5E"/>
    <w:multiLevelType w:val="multilevel"/>
    <w:tmpl w:val="F62A50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AE11732"/>
    <w:multiLevelType w:val="multilevel"/>
    <w:tmpl w:val="FB7A38B8"/>
    <w:lvl w:ilvl="0">
      <w:start w:val="1"/>
      <w:numFmt w:val="decimal"/>
      <w:pStyle w:val="AnnexHeading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/>
        <w:b/>
        <w:i w:val="0"/>
        <w:sz w:val="22"/>
      </w:rPr>
    </w:lvl>
    <w:lvl w:ilvl="2">
      <w:start w:val="1"/>
      <w:numFmt w:val="decimal"/>
      <w:lvlText w:val="%2.%3.%1"/>
      <w:lvlJc w:val="left"/>
      <w:pPr>
        <w:tabs>
          <w:tab w:val="num" w:pos="992"/>
        </w:tabs>
        <w:ind w:left="992" w:hanging="992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4149608C"/>
    <w:multiLevelType w:val="multilevel"/>
    <w:tmpl w:val="5D8E66A2"/>
    <w:lvl w:ilvl="0">
      <w:start w:val="1"/>
      <w:numFmt w:val="decimal"/>
      <w:pStyle w:val="AnnexTable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26D8E"/>
    <w:multiLevelType w:val="multilevel"/>
    <w:tmpl w:val="82823E76"/>
    <w:lvl w:ilvl="0">
      <w:start w:val="1"/>
      <w:numFmt w:val="decimal"/>
      <w:pStyle w:val="equation"/>
      <w:lvlText w:val="(equation %1)"/>
      <w:lvlJc w:val="right"/>
      <w:pPr>
        <w:tabs>
          <w:tab w:val="num" w:pos="0"/>
        </w:tabs>
        <w:ind w:left="8180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940" w:hanging="180"/>
      </w:pPr>
    </w:lvl>
  </w:abstractNum>
  <w:abstractNum w:abstractNumId="10" w15:restartNumberingAfterBreak="0">
    <w:nsid w:val="62244E57"/>
    <w:multiLevelType w:val="multilevel"/>
    <w:tmpl w:val="3B9069AC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242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C3414A"/>
    <w:multiLevelType w:val="multilevel"/>
    <w:tmpl w:val="05420D6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Calibri" w:hAnsi="Calibri"/>
        <w:b w:val="0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72671FA"/>
    <w:multiLevelType w:val="multilevel"/>
    <w:tmpl w:val="86F85B64"/>
    <w:lvl w:ilvl="0">
      <w:start w:val="1"/>
      <w:numFmt w:val="decimal"/>
      <w:pStyle w:val="Appendix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6767228B"/>
    <w:multiLevelType w:val="multilevel"/>
    <w:tmpl w:val="E582388C"/>
    <w:lvl w:ilvl="0">
      <w:start w:val="1"/>
      <w:numFmt w:val="decimal"/>
      <w:pStyle w:val="AnnexFigure"/>
      <w:lvlText w:val="Figure %1"/>
      <w:lvlJc w:val="left"/>
      <w:pPr>
        <w:tabs>
          <w:tab w:val="num" w:pos="1701"/>
        </w:tabs>
        <w:ind w:left="1701" w:hanging="1701"/>
      </w:pPr>
      <w:rPr>
        <w:rFonts w:ascii="Arial" w:hAnsi="Arial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8451D8"/>
    <w:multiLevelType w:val="multilevel"/>
    <w:tmpl w:val="42F28844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0145784">
    <w:abstractNumId w:val="6"/>
  </w:num>
  <w:num w:numId="2" w16cid:durableId="162621898">
    <w:abstractNumId w:val="13"/>
  </w:num>
  <w:num w:numId="3" w16cid:durableId="1317607936">
    <w:abstractNumId w:val="7"/>
  </w:num>
  <w:num w:numId="4" w16cid:durableId="1018116284">
    <w:abstractNumId w:val="8"/>
  </w:num>
  <w:num w:numId="5" w16cid:durableId="1048918323">
    <w:abstractNumId w:val="12"/>
  </w:num>
  <w:num w:numId="6" w16cid:durableId="214893599">
    <w:abstractNumId w:val="10"/>
  </w:num>
  <w:num w:numId="7" w16cid:durableId="1785689652">
    <w:abstractNumId w:val="11"/>
  </w:num>
  <w:num w:numId="8" w16cid:durableId="236014289">
    <w:abstractNumId w:val="14"/>
  </w:num>
  <w:num w:numId="9" w16cid:durableId="841625652">
    <w:abstractNumId w:val="3"/>
  </w:num>
  <w:num w:numId="10" w16cid:durableId="2047289962">
    <w:abstractNumId w:val="2"/>
  </w:num>
  <w:num w:numId="11" w16cid:durableId="1466969130">
    <w:abstractNumId w:val="9"/>
  </w:num>
  <w:num w:numId="12" w16cid:durableId="759719592">
    <w:abstractNumId w:val="1"/>
  </w:num>
  <w:num w:numId="13" w16cid:durableId="1967808558">
    <w:abstractNumId w:val="0"/>
  </w:num>
  <w:num w:numId="14" w16cid:durableId="1771003284">
    <w:abstractNumId w:val="4"/>
  </w:num>
  <w:num w:numId="15" w16cid:durableId="163789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42"/>
    <w:rsid w:val="00E126B8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B14A"/>
  <w15:docId w15:val="{CCEFE5BF-C478-4ABD-A364-ADEB4AA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BodyText"/>
    <w:uiPriority w:val="9"/>
    <w:qFormat/>
    <w:pPr>
      <w:keepNext/>
      <w:numPr>
        <w:numId w:val="1"/>
      </w:numPr>
      <w:spacing w:before="240" w:after="240"/>
      <w:outlineLvl w:val="0"/>
    </w:pPr>
    <w:rPr>
      <w:rFonts w:ascii="Calibri" w:hAnsi="Calibri"/>
      <w:b/>
      <w:caps/>
      <w:color w:val="0070C0"/>
      <w:kern w:val="2"/>
      <w:sz w:val="24"/>
      <w:lang w:eastAsia="de-DE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120" w:after="120"/>
      <w:outlineLvl w:val="1"/>
    </w:pPr>
    <w:rPr>
      <w:rFonts w:ascii="Calibri" w:hAnsi="Calibri"/>
      <w:b/>
      <w:color w:val="0070C0"/>
      <w:sz w:val="24"/>
      <w:szCs w:val="24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numPr>
        <w:ilvl w:val="2"/>
        <w:numId w:val="1"/>
      </w:numPr>
      <w:spacing w:before="120" w:after="120"/>
      <w:outlineLvl w:val="2"/>
    </w:pPr>
    <w:rPr>
      <w:szCs w:val="20"/>
      <w:lang w:eastAsia="de-DE"/>
    </w:rPr>
  </w:style>
  <w:style w:type="paragraph" w:styleId="Heading4">
    <w:name w:val="heading 4"/>
    <w:basedOn w:val="Normal"/>
    <w:next w:val="BodyTextIndent"/>
    <w:uiPriority w:val="9"/>
    <w:semiHidden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szCs w:val="20"/>
      <w:lang w:val="en-US" w:eastAsia="de-D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120"/>
      <w:outlineLvl w:val="4"/>
    </w:pPr>
    <w:rPr>
      <w:rFonts w:eastAsia="Times New Roman" w:cs="Times New Roman"/>
      <w:szCs w:val="20"/>
      <w:lang w:val="de-DE" w:eastAsia="de-DE"/>
    </w:rPr>
  </w:style>
  <w:style w:type="paragraph" w:styleId="Heading6">
    <w:name w:val="heading 6"/>
    <w:basedOn w:val="Normal"/>
    <w:next w:val="BodyTextIndent2"/>
    <w:uiPriority w:val="9"/>
    <w:semiHidden/>
    <w:unhideWhenUsed/>
    <w:qFormat/>
    <w:pPr>
      <w:numPr>
        <w:ilvl w:val="5"/>
        <w:numId w:val="1"/>
      </w:numPr>
      <w:tabs>
        <w:tab w:val="left" w:pos="1418"/>
      </w:tabs>
      <w:spacing w:before="120" w:after="120"/>
      <w:outlineLvl w:val="5"/>
    </w:pPr>
    <w:rPr>
      <w:szCs w:val="20"/>
      <w:lang w:val="de-DE" w:eastAsia="de-DE"/>
    </w:rPr>
  </w:style>
  <w:style w:type="paragraph" w:styleId="Heading7">
    <w:name w:val="heading 7"/>
    <w:basedOn w:val="Normal"/>
    <w:next w:val="BodyTextIndent2"/>
    <w:qFormat/>
    <w:pPr>
      <w:numPr>
        <w:ilvl w:val="6"/>
        <w:numId w:val="1"/>
      </w:numPr>
      <w:tabs>
        <w:tab w:val="left" w:pos="1701"/>
      </w:tabs>
      <w:spacing w:before="120" w:after="120"/>
      <w:outlineLvl w:val="6"/>
    </w:pPr>
    <w:rPr>
      <w:szCs w:val="20"/>
      <w:lang w:val="de-DE" w:eastAsia="de-DE"/>
    </w:rPr>
  </w:style>
  <w:style w:type="paragraph" w:styleId="Heading8">
    <w:name w:val="heading 8"/>
    <w:basedOn w:val="Normal"/>
    <w:next w:val="BodyTextIndent2"/>
    <w:qFormat/>
    <w:pPr>
      <w:numPr>
        <w:ilvl w:val="7"/>
        <w:numId w:val="1"/>
      </w:numPr>
      <w:tabs>
        <w:tab w:val="left" w:pos="1985"/>
      </w:tabs>
      <w:spacing w:before="120" w:after="120"/>
      <w:outlineLvl w:val="7"/>
    </w:pPr>
    <w:rPr>
      <w:szCs w:val="20"/>
      <w:lang w:val="de-DE" w:eastAsia="de-DE"/>
    </w:rPr>
  </w:style>
  <w:style w:type="paragraph" w:styleId="Heading9">
    <w:name w:val="heading 9"/>
    <w:basedOn w:val="Normal"/>
    <w:next w:val="BodyTextIndent2"/>
    <w:qFormat/>
    <w:pPr>
      <w:numPr>
        <w:ilvl w:val="8"/>
        <w:numId w:val="1"/>
      </w:numPr>
      <w:tabs>
        <w:tab w:val="left" w:pos="2268"/>
      </w:tabs>
      <w:spacing w:before="120" w:after="120"/>
      <w:outlineLvl w:val="8"/>
    </w:pPr>
    <w:rPr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qFormat/>
    <w:rPr>
      <w:rFonts w:cs="Calibri"/>
      <w:b/>
      <w:caps/>
      <w:color w:val="0070C0"/>
      <w:kern w:val="2"/>
      <w:sz w:val="24"/>
      <w:szCs w:val="22"/>
      <w:lang w:eastAsia="de-DE"/>
    </w:rPr>
  </w:style>
  <w:style w:type="character" w:customStyle="1" w:styleId="berschrift2Zchn">
    <w:name w:val="Überschrift 2 Zchn"/>
    <w:qFormat/>
    <w:rPr>
      <w:rFonts w:cs="Calibri"/>
      <w:b/>
      <w:color w:val="0070C0"/>
      <w:sz w:val="24"/>
      <w:szCs w:val="24"/>
    </w:rPr>
  </w:style>
  <w:style w:type="character" w:customStyle="1" w:styleId="TextkrperZchn">
    <w:name w:val="Textkörper Zchn"/>
    <w:qFormat/>
    <w:rPr>
      <w:rFonts w:ascii="Arial" w:hAnsi="Arial" w:cs="Times New Roman"/>
      <w:szCs w:val="24"/>
    </w:rPr>
  </w:style>
  <w:style w:type="character" w:customStyle="1" w:styleId="FuzeileZchn">
    <w:name w:val="Fußzeile Zchn"/>
    <w:qFormat/>
    <w:rPr>
      <w:rFonts w:ascii="Arial" w:hAnsi="Arial" w:cs="Times New Roman"/>
      <w:szCs w:val="24"/>
    </w:rPr>
  </w:style>
  <w:style w:type="character" w:customStyle="1" w:styleId="KopfzeileZchn">
    <w:name w:val="Kopfzeile Zchn"/>
    <w:qFormat/>
    <w:rPr>
      <w:rFonts w:ascii="Arial" w:eastAsia="Calibri" w:hAnsi="Arial" w:cs="Times New Roman"/>
      <w:szCs w:val="24"/>
      <w:lang w:eastAsia="en-GB"/>
    </w:rPr>
  </w:style>
  <w:style w:type="character" w:customStyle="1" w:styleId="berschrift3Zchn">
    <w:name w:val="Überschrift 3 Zchn"/>
    <w:qFormat/>
    <w:rPr>
      <w:rFonts w:ascii="Arial" w:hAnsi="Arial" w:cs="Calibri"/>
      <w:szCs w:val="20"/>
      <w:lang w:eastAsia="de-DE"/>
    </w:rPr>
  </w:style>
  <w:style w:type="character" w:customStyle="1" w:styleId="berschrift4Zchn">
    <w:name w:val="Überschrift 4 Zchn"/>
    <w:qFormat/>
    <w:rPr>
      <w:rFonts w:ascii="Arial" w:hAnsi="Arial" w:cs="Calibri"/>
      <w:szCs w:val="20"/>
      <w:lang w:val="en-US" w:eastAsia="de-DE"/>
    </w:rPr>
  </w:style>
  <w:style w:type="character" w:customStyle="1" w:styleId="berschrift5Zchn">
    <w:name w:val="Überschrift 5 Zchn"/>
    <w:qFormat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6Zchn">
    <w:name w:val="Überschrift 6 Zchn"/>
    <w:qFormat/>
    <w:rPr>
      <w:rFonts w:ascii="Arial" w:hAnsi="Arial" w:cs="Calibri"/>
      <w:szCs w:val="20"/>
      <w:lang w:val="de-DE" w:eastAsia="de-DE"/>
    </w:rPr>
  </w:style>
  <w:style w:type="character" w:customStyle="1" w:styleId="berschrift7Zchn">
    <w:name w:val="Überschrift 7 Zchn"/>
    <w:qFormat/>
    <w:rPr>
      <w:rFonts w:ascii="Arial" w:hAnsi="Arial" w:cs="Calibri"/>
      <w:szCs w:val="20"/>
      <w:lang w:val="de-DE" w:eastAsia="de-DE"/>
    </w:rPr>
  </w:style>
  <w:style w:type="character" w:customStyle="1" w:styleId="berschrift8Zchn">
    <w:name w:val="Überschrift 8 Zchn"/>
    <w:qFormat/>
    <w:rPr>
      <w:rFonts w:ascii="Arial" w:hAnsi="Arial" w:cs="Calibri"/>
      <w:szCs w:val="20"/>
      <w:lang w:val="de-DE" w:eastAsia="de-DE"/>
    </w:rPr>
  </w:style>
  <w:style w:type="character" w:customStyle="1" w:styleId="berschrift9Zchn">
    <w:name w:val="Überschrift 9 Zchn"/>
    <w:qFormat/>
    <w:rPr>
      <w:rFonts w:ascii="Arial" w:hAnsi="Arial" w:cs="Calibri"/>
      <w:szCs w:val="20"/>
      <w:lang w:val="de-DE" w:eastAsia="de-DE"/>
    </w:rPr>
  </w:style>
  <w:style w:type="character" w:styleId="Hyperlink">
    <w:name w:val="Hyperlink"/>
    <w:rPr>
      <w:strike w:val="0"/>
      <w:dstrike w:val="0"/>
      <w:position w:val="0"/>
      <w:sz w:val="20"/>
      <w:vertAlign w:val="baseline"/>
    </w:rPr>
  </w:style>
  <w:style w:type="character" w:styleId="PageNumber">
    <w:name w:val="page number"/>
    <w:basedOn w:val="DefaultParagraphFont"/>
    <w:qFormat/>
  </w:style>
  <w:style w:type="character" w:customStyle="1" w:styleId="Textkrper-ZeileneinzugZchn">
    <w:name w:val="Textkörper-Zeileneinzug Zchn"/>
    <w:qFormat/>
    <w:rPr>
      <w:rFonts w:ascii="Arial" w:hAnsi="Arial" w:cs="Times New Roman"/>
      <w:szCs w:val="24"/>
    </w:rPr>
  </w:style>
  <w:style w:type="character" w:customStyle="1" w:styleId="Textkrper-Einzug2Zchn">
    <w:name w:val="Textkörper-Einzug 2 Zchn"/>
    <w:qFormat/>
    <w:rPr>
      <w:rFonts w:ascii="Arial" w:hAnsi="Arial" w:cs="Times New Roman"/>
      <w:szCs w:val="24"/>
      <w:lang w:eastAsia="de-DE"/>
    </w:rPr>
  </w:style>
  <w:style w:type="character" w:customStyle="1" w:styleId="FootnoteCharacters">
    <w:name w:val="Footnote Characters"/>
    <w:qFormat/>
    <w:rPr>
      <w:rFonts w:ascii="Arial" w:hAnsi="Arial"/>
      <w:sz w:val="16"/>
    </w:rPr>
  </w:style>
  <w:style w:type="character" w:customStyle="1" w:styleId="FootnoteAnchor">
    <w:name w:val="Footnote Anchor"/>
    <w:rPr>
      <w:rFonts w:ascii="Arial" w:hAnsi="Arial"/>
      <w:sz w:val="16"/>
      <w:vertAlign w:val="superscript"/>
    </w:rPr>
  </w:style>
  <w:style w:type="character" w:customStyle="1" w:styleId="FunotentextZchn">
    <w:name w:val="Fußnotentext Zchn"/>
    <w:qFormat/>
    <w:rPr>
      <w:rFonts w:ascii="Arial" w:hAnsi="Arial" w:cs="Times New Roman"/>
      <w:sz w:val="20"/>
      <w:szCs w:val="20"/>
    </w:rPr>
  </w:style>
  <w:style w:type="character" w:customStyle="1" w:styleId="UntertitelZchn">
    <w:name w:val="Untertitel Zchn"/>
    <w:qFormat/>
    <w:rPr>
      <w:rFonts w:ascii="Arial" w:hAnsi="Arial" w:cs="Arial"/>
      <w:szCs w:val="24"/>
    </w:rPr>
  </w:style>
  <w:style w:type="character" w:customStyle="1" w:styleId="TitelZchn">
    <w:name w:val="Titel Zchn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SprechblasentextZchn">
    <w:name w:val="Sprechblasentext Zchn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KommentartextZchn">
    <w:name w:val="Kommentartext Zchn"/>
    <w:basedOn w:val="DefaultParagraphFont"/>
    <w:qFormat/>
    <w:rPr>
      <w:rFonts w:ascii="Arial" w:hAnsi="Arial" w:cs="Calibri"/>
    </w:rPr>
  </w:style>
  <w:style w:type="character" w:customStyle="1" w:styleId="KommentarthemaZchn">
    <w:name w:val="Kommentarthema Zchn"/>
    <w:basedOn w:val="KommentartextZchn"/>
    <w:qFormat/>
    <w:rPr>
      <w:rFonts w:ascii="Arial" w:hAnsi="Arial" w:cs="Calibri"/>
      <w:b/>
      <w:bCs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neNumbering">
    <w:name w:val="Line Numbering"/>
  </w:style>
  <w:style w:type="character" w:styleId="FollowedHyperlink">
    <w:name w:val="FollowedHyperli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0055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nnex">
    <w:name w:val="Annex"/>
    <w:basedOn w:val="Heading1"/>
    <w:next w:val="Normal"/>
    <w:qFormat/>
    <w:pPr>
      <w:numPr>
        <w:numId w:val="0"/>
      </w:numPr>
      <w:tabs>
        <w:tab w:val="left" w:pos="1701"/>
      </w:tabs>
      <w:jc w:val="both"/>
      <w:outlineLvl w:val="9"/>
    </w:pPr>
    <w:rPr>
      <w:kern w:val="0"/>
      <w:lang w:eastAsia="en-GB"/>
    </w:rPr>
  </w:style>
  <w:style w:type="paragraph" w:customStyle="1" w:styleId="AnnexFigure">
    <w:name w:val="Annex Figure"/>
    <w:basedOn w:val="Normal"/>
    <w:next w:val="Normal"/>
    <w:qFormat/>
    <w:pPr>
      <w:numPr>
        <w:numId w:val="2"/>
      </w:numPr>
      <w:spacing w:before="120" w:after="120"/>
      <w:jc w:val="center"/>
    </w:pPr>
    <w:rPr>
      <w:i/>
    </w:rPr>
  </w:style>
  <w:style w:type="paragraph" w:customStyle="1" w:styleId="AnnexHeading1">
    <w:name w:val="Annex Heading 1"/>
    <w:basedOn w:val="Normal"/>
    <w:next w:val="BodyText"/>
    <w:qFormat/>
    <w:pPr>
      <w:numPr>
        <w:numId w:val="3"/>
      </w:numPr>
      <w:spacing w:before="120" w:after="120"/>
    </w:pPr>
    <w:rPr>
      <w:rFonts w:cs="Arial"/>
      <w:b/>
      <w:caps/>
      <w:sz w:val="24"/>
    </w:rPr>
  </w:style>
  <w:style w:type="paragraph" w:customStyle="1" w:styleId="AnnexHeading2">
    <w:name w:val="Annex Heading 2"/>
    <w:basedOn w:val="Normal"/>
    <w:next w:val="BodyText"/>
    <w:qFormat/>
    <w:pPr>
      <w:tabs>
        <w:tab w:val="left" w:pos="567"/>
      </w:tabs>
      <w:spacing w:before="120" w:after="120"/>
      <w:ind w:left="567" w:hanging="567"/>
    </w:pPr>
    <w:rPr>
      <w:rFonts w:cs="Arial"/>
      <w:b/>
    </w:rPr>
  </w:style>
  <w:style w:type="paragraph" w:customStyle="1" w:styleId="AnnexHeading3">
    <w:name w:val="Annex Heading 3"/>
    <w:basedOn w:val="Normal"/>
    <w:next w:val="Normal"/>
    <w:qFormat/>
    <w:pPr>
      <w:tabs>
        <w:tab w:val="left" w:pos="567"/>
      </w:tabs>
      <w:spacing w:before="120" w:after="120"/>
      <w:ind w:left="567" w:hanging="567"/>
    </w:pPr>
    <w:rPr>
      <w:rFonts w:cs="Arial"/>
    </w:rPr>
  </w:style>
  <w:style w:type="paragraph" w:customStyle="1" w:styleId="AnnexHeading4">
    <w:name w:val="Annex Heading 4"/>
    <w:basedOn w:val="Normal"/>
    <w:next w:val="BodyText"/>
    <w:qFormat/>
    <w:pPr>
      <w:tabs>
        <w:tab w:val="left" w:pos="567"/>
      </w:tabs>
      <w:spacing w:before="120" w:after="120"/>
      <w:ind w:left="567" w:hanging="567"/>
    </w:pPr>
    <w:rPr>
      <w:rFonts w:cs="Arial"/>
    </w:rPr>
  </w:style>
  <w:style w:type="paragraph" w:customStyle="1" w:styleId="AnnexTable">
    <w:name w:val="Annex Table"/>
    <w:basedOn w:val="Normal"/>
    <w:next w:val="Normal"/>
    <w:qFormat/>
    <w:pPr>
      <w:numPr>
        <w:numId w:val="4"/>
      </w:numPr>
      <w:tabs>
        <w:tab w:val="left" w:pos="1418"/>
      </w:tabs>
      <w:spacing w:before="120" w:after="120"/>
      <w:jc w:val="center"/>
    </w:pPr>
    <w:rPr>
      <w:i/>
    </w:rPr>
  </w:style>
  <w:style w:type="paragraph" w:customStyle="1" w:styleId="Bullet1">
    <w:name w:val="Bullet 1"/>
    <w:basedOn w:val="Normal"/>
    <w:qFormat/>
    <w:pPr>
      <w:tabs>
        <w:tab w:val="left" w:pos="1134"/>
      </w:tabs>
      <w:spacing w:after="120"/>
      <w:ind w:left="1134" w:hanging="567"/>
      <w:jc w:val="both"/>
      <w:outlineLvl w:val="0"/>
    </w:pPr>
    <w:rPr>
      <w:rFonts w:cs="Arial"/>
      <w:lang w:eastAsia="de-DE"/>
    </w:rPr>
  </w:style>
  <w:style w:type="paragraph" w:customStyle="1" w:styleId="Bullet1text">
    <w:name w:val="Bullet 1 text"/>
    <w:basedOn w:val="Normal"/>
    <w:qFormat/>
    <w:pPr>
      <w:spacing w:after="120"/>
      <w:ind w:left="1134"/>
      <w:jc w:val="both"/>
    </w:pPr>
    <w:rPr>
      <w:rFonts w:cs="Arial"/>
      <w:lang w:val="fr-FR"/>
    </w:rPr>
  </w:style>
  <w:style w:type="paragraph" w:customStyle="1" w:styleId="Bullet2">
    <w:name w:val="Bullet 2"/>
    <w:basedOn w:val="Normal"/>
    <w:qFormat/>
    <w:pPr>
      <w:numPr>
        <w:numId w:val="6"/>
      </w:numPr>
      <w:tabs>
        <w:tab w:val="left" w:pos="1701"/>
      </w:tabs>
      <w:spacing w:after="120"/>
      <w:ind w:left="1701" w:hanging="567"/>
      <w:jc w:val="both"/>
    </w:pPr>
    <w:rPr>
      <w:rFonts w:cs="Arial"/>
    </w:rPr>
  </w:style>
  <w:style w:type="paragraph" w:customStyle="1" w:styleId="Bullet2text">
    <w:name w:val="Bullet 2 text"/>
    <w:basedOn w:val="Normal"/>
    <w:qFormat/>
    <w:pPr>
      <w:spacing w:after="120"/>
      <w:ind w:left="1701"/>
      <w:jc w:val="both"/>
    </w:pPr>
    <w:rPr>
      <w:rFonts w:cs="Arial"/>
    </w:rPr>
  </w:style>
  <w:style w:type="paragraph" w:customStyle="1" w:styleId="Bullet3">
    <w:name w:val="Bullet 3"/>
    <w:basedOn w:val="Normal"/>
    <w:qFormat/>
    <w:pPr>
      <w:numPr>
        <w:numId w:val="12"/>
      </w:numPr>
      <w:tabs>
        <w:tab w:val="left" w:pos="2268"/>
      </w:tabs>
      <w:spacing w:after="60"/>
      <w:ind w:left="2268" w:hanging="567"/>
      <w:jc w:val="both"/>
    </w:pPr>
    <w:rPr>
      <w:rFonts w:cs="Arial"/>
      <w:sz w:val="20"/>
    </w:rPr>
  </w:style>
  <w:style w:type="paragraph" w:customStyle="1" w:styleId="Bullet3text">
    <w:name w:val="Bullet 3 text"/>
    <w:basedOn w:val="Normal"/>
    <w:qFormat/>
    <w:pPr>
      <w:spacing w:after="60"/>
      <w:ind w:left="2268"/>
    </w:pPr>
    <w:rPr>
      <w:rFonts w:cs="Arial"/>
      <w:sz w:val="20"/>
    </w:rPr>
  </w:style>
  <w:style w:type="paragraph" w:customStyle="1" w:styleId="Figure">
    <w:name w:val="Figure_#"/>
    <w:basedOn w:val="Normal"/>
    <w:next w:val="Normal"/>
    <w:qFormat/>
    <w:pPr>
      <w:numPr>
        <w:numId w:val="7"/>
      </w:numPr>
      <w:spacing w:before="120" w:after="120"/>
      <w:jc w:val="center"/>
    </w:pPr>
    <w:rPr>
      <w:i/>
      <w:szCs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styleId="Header">
    <w:name w:val="header"/>
    <w:basedOn w:val="Normal"/>
    <w:pPr>
      <w:tabs>
        <w:tab w:val="center" w:pos="4820"/>
        <w:tab w:val="right" w:pos="9639"/>
      </w:tabs>
    </w:pPr>
  </w:style>
  <w:style w:type="paragraph" w:customStyle="1" w:styleId="Aufzhlungszeichen31">
    <w:name w:val="Aufzählungszeichen 31"/>
    <w:basedOn w:val="Normal"/>
    <w:qFormat/>
    <w:pPr>
      <w:numPr>
        <w:numId w:val="10"/>
      </w:numPr>
      <w:spacing w:after="120"/>
      <w:jc w:val="both"/>
    </w:pPr>
    <w:rPr>
      <w:rFonts w:eastAsia="MS Mincho"/>
      <w:lang w:eastAsia="ja-JP"/>
    </w:rPr>
  </w:style>
  <w:style w:type="paragraph" w:customStyle="1" w:styleId="List1indent2">
    <w:name w:val="List 1 indent 2"/>
    <w:basedOn w:val="Normal"/>
    <w:qFormat/>
    <w:pPr>
      <w:widowControl w:val="0"/>
      <w:tabs>
        <w:tab w:val="left" w:pos="567"/>
      </w:tabs>
      <w:spacing w:after="120"/>
      <w:ind w:left="567" w:hanging="567"/>
      <w:jc w:val="both"/>
    </w:pPr>
    <w:rPr>
      <w:rFonts w:cs="Arial"/>
      <w:sz w:val="20"/>
      <w:szCs w:val="20"/>
    </w:rPr>
  </w:style>
  <w:style w:type="paragraph" w:customStyle="1" w:styleId="List1indent2text">
    <w:name w:val="List 1 indent 2 text"/>
    <w:basedOn w:val="Normal"/>
    <w:qFormat/>
    <w:pPr>
      <w:spacing w:after="60"/>
      <w:ind w:left="1701"/>
      <w:jc w:val="both"/>
    </w:pPr>
    <w:rPr>
      <w:rFonts w:cs="Arial"/>
      <w:sz w:val="20"/>
    </w:rPr>
  </w:style>
  <w:style w:type="paragraph" w:customStyle="1" w:styleId="List1indenttext">
    <w:name w:val="List 1 indent text"/>
    <w:basedOn w:val="Normal"/>
    <w:qFormat/>
    <w:pPr>
      <w:spacing w:after="120"/>
      <w:ind w:left="1134"/>
      <w:jc w:val="both"/>
    </w:pPr>
    <w:rPr>
      <w:szCs w:val="20"/>
    </w:rPr>
  </w:style>
  <w:style w:type="paragraph" w:customStyle="1" w:styleId="List1text">
    <w:name w:val="List 1 text"/>
    <w:basedOn w:val="Normal"/>
    <w:qFormat/>
    <w:pPr>
      <w:spacing w:after="120"/>
      <w:ind w:left="567"/>
    </w:pPr>
    <w:rPr>
      <w:rFonts w:cs="Arial"/>
    </w:rPr>
  </w:style>
  <w:style w:type="paragraph" w:styleId="TableofFigures">
    <w:name w:val="table of figures"/>
    <w:basedOn w:val="Normal"/>
    <w:next w:val="Normal"/>
    <w:qFormat/>
    <w:pPr>
      <w:tabs>
        <w:tab w:val="left" w:pos="1418"/>
        <w:tab w:val="right" w:pos="9639"/>
      </w:tabs>
      <w:spacing w:before="60" w:after="60"/>
      <w:ind w:left="1418" w:right="282" w:hanging="1418"/>
    </w:pPr>
    <w:rPr>
      <w:rFonts w:eastAsia="Times New Roman" w:cs="Times New Roman"/>
      <w:szCs w:val="24"/>
      <w:lang w:eastAsia="en-US"/>
    </w:rPr>
  </w:style>
  <w:style w:type="paragraph" w:customStyle="1" w:styleId="Table">
    <w:name w:val="Table_#"/>
    <w:basedOn w:val="Normal"/>
    <w:next w:val="Normal"/>
    <w:qFormat/>
    <w:pPr>
      <w:numPr>
        <w:numId w:val="9"/>
      </w:numPr>
      <w:spacing w:before="120" w:after="120"/>
      <w:jc w:val="center"/>
    </w:pPr>
    <w:rPr>
      <w:i/>
      <w:szCs w:val="20"/>
    </w:rPr>
  </w:style>
  <w:style w:type="paragraph" w:styleId="TOC1">
    <w:name w:val="toc 1"/>
    <w:basedOn w:val="Normal"/>
    <w:next w:val="Normal"/>
    <w:pPr>
      <w:tabs>
        <w:tab w:val="left" w:pos="567"/>
        <w:tab w:val="right" w:pos="9639"/>
      </w:tabs>
      <w:spacing w:before="120"/>
      <w:ind w:right="284"/>
    </w:pPr>
    <w:rPr>
      <w:rFonts w:eastAsia="Times New Roman" w:cs="Arial"/>
      <w:bCs/>
      <w:iCs/>
      <w:caps/>
      <w:lang w:eastAsia="en-US"/>
    </w:rPr>
  </w:style>
  <w:style w:type="paragraph" w:styleId="TOC2">
    <w:name w:val="toc 2"/>
    <w:basedOn w:val="Normal"/>
    <w:next w:val="Normal"/>
    <w:pPr>
      <w:tabs>
        <w:tab w:val="left" w:pos="1418"/>
        <w:tab w:val="right" w:pos="9639"/>
      </w:tabs>
      <w:spacing w:before="120"/>
      <w:ind w:left="1418" w:right="284" w:hanging="851"/>
    </w:pPr>
    <w:rPr>
      <w:rFonts w:eastAsia="Times New Roman" w:cs="Times New Roman"/>
      <w:bCs/>
      <w:szCs w:val="26"/>
      <w:lang w:eastAsia="en-US"/>
    </w:rPr>
  </w:style>
  <w:style w:type="paragraph" w:styleId="TOC3">
    <w:name w:val="toc 3"/>
    <w:basedOn w:val="Normal"/>
    <w:next w:val="Normal"/>
    <w:pPr>
      <w:tabs>
        <w:tab w:val="left" w:pos="2268"/>
        <w:tab w:val="right" w:pos="9639"/>
      </w:tabs>
      <w:ind w:left="2268" w:right="284" w:hanging="85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pPr>
      <w:tabs>
        <w:tab w:val="left" w:pos="1418"/>
        <w:tab w:val="right" w:pos="9639"/>
      </w:tabs>
      <w:spacing w:before="120" w:after="120"/>
      <w:ind w:left="1418" w:right="284" w:hanging="1418"/>
    </w:pPr>
    <w:rPr>
      <w:rFonts w:eastAsia="Times New Roman" w:cs="Times New Roman"/>
      <w:b/>
      <w:caps/>
      <w:szCs w:val="24"/>
      <w:lang w:eastAsia="en-US"/>
    </w:rPr>
  </w:style>
  <w:style w:type="paragraph" w:styleId="TOC5">
    <w:name w:val="toc 5"/>
    <w:basedOn w:val="Normal"/>
    <w:next w:val="Normal"/>
    <w:autoRedefine/>
    <w:pPr>
      <w:ind w:left="880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6">
    <w:name w:val="toc 6"/>
    <w:basedOn w:val="Normal"/>
    <w:next w:val="Normal"/>
    <w:autoRedefine/>
    <w:pPr>
      <w:ind w:left="1100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7">
    <w:name w:val="toc 7"/>
    <w:basedOn w:val="Normal"/>
    <w:next w:val="Normal"/>
    <w:autoRedefine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pPr>
      <w:ind w:left="1680"/>
    </w:pPr>
    <w:rPr>
      <w:sz w:val="20"/>
      <w:szCs w:val="20"/>
    </w:rPr>
  </w:style>
  <w:style w:type="paragraph" w:styleId="BodyTextIndent">
    <w:name w:val="Body Text Indent"/>
    <w:basedOn w:val="Normal"/>
    <w:pPr>
      <w:spacing w:after="120"/>
      <w:ind w:left="567"/>
    </w:pPr>
  </w:style>
  <w:style w:type="paragraph" w:styleId="BodyTextIndent2">
    <w:name w:val="Body Text Indent 2"/>
    <w:basedOn w:val="Normal"/>
    <w:qFormat/>
    <w:pPr>
      <w:spacing w:after="120"/>
      <w:ind w:left="1134"/>
      <w:jc w:val="both"/>
    </w:pPr>
    <w:rPr>
      <w:lang w:eastAsia="de-DE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20" w:after="24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List1indent1">
    <w:name w:val="List 1 indent 1"/>
    <w:basedOn w:val="Normal"/>
    <w:qFormat/>
    <w:pPr>
      <w:tabs>
        <w:tab w:val="left" w:pos="567"/>
      </w:tabs>
      <w:spacing w:after="120"/>
      <w:ind w:left="567" w:hanging="567"/>
      <w:jc w:val="both"/>
    </w:pPr>
    <w:rPr>
      <w:rFonts w:cs="Arial"/>
    </w:rPr>
  </w:style>
  <w:style w:type="paragraph" w:customStyle="1" w:styleId="List1indent1text">
    <w:name w:val="List 1 indent 1 text"/>
    <w:basedOn w:val="Normal"/>
    <w:qFormat/>
    <w:pPr>
      <w:spacing w:after="120"/>
      <w:ind w:left="1134"/>
      <w:jc w:val="both"/>
    </w:pPr>
    <w:rPr>
      <w:rFonts w:cs="Arial"/>
      <w:lang w:eastAsia="fr-FR"/>
    </w:rPr>
  </w:style>
  <w:style w:type="paragraph" w:customStyle="1" w:styleId="References">
    <w:name w:val="References"/>
    <w:basedOn w:val="Normal"/>
    <w:qFormat/>
    <w:pPr>
      <w:numPr>
        <w:numId w:val="8"/>
      </w:numPr>
      <w:spacing w:after="120"/>
    </w:pPr>
    <w:rPr>
      <w:szCs w:val="20"/>
    </w:rPr>
  </w:style>
  <w:style w:type="paragraph" w:customStyle="1" w:styleId="AppendixHeading1">
    <w:name w:val="Appendix Heading 1"/>
    <w:basedOn w:val="Normal"/>
    <w:next w:val="BodyText"/>
    <w:qFormat/>
    <w:pPr>
      <w:numPr>
        <w:numId w:val="5"/>
      </w:numPr>
      <w:spacing w:before="120" w:after="120"/>
    </w:pPr>
    <w:rPr>
      <w:rFonts w:cs="Arial"/>
      <w:b/>
      <w:caps/>
      <w:sz w:val="24"/>
    </w:rPr>
  </w:style>
  <w:style w:type="paragraph" w:customStyle="1" w:styleId="AppendixHeading2">
    <w:name w:val="Appendix Heading 2"/>
    <w:basedOn w:val="Normal"/>
    <w:next w:val="BodyText"/>
    <w:qFormat/>
    <w:pPr>
      <w:tabs>
        <w:tab w:val="left" w:pos="567"/>
      </w:tabs>
      <w:spacing w:before="120" w:after="120"/>
      <w:ind w:left="567" w:hanging="567"/>
    </w:pPr>
    <w:rPr>
      <w:rFonts w:cs="Arial"/>
      <w:b/>
    </w:rPr>
  </w:style>
  <w:style w:type="paragraph" w:customStyle="1" w:styleId="AppendixHeading3">
    <w:name w:val="Appendix Heading 3"/>
    <w:basedOn w:val="Normal"/>
    <w:next w:val="Normal"/>
    <w:qFormat/>
    <w:pPr>
      <w:tabs>
        <w:tab w:val="left" w:pos="567"/>
      </w:tabs>
      <w:spacing w:before="120" w:after="120"/>
      <w:ind w:left="567" w:hanging="567"/>
    </w:pPr>
    <w:rPr>
      <w:rFonts w:cs="Arial"/>
    </w:rPr>
  </w:style>
  <w:style w:type="paragraph" w:customStyle="1" w:styleId="AppendixHeading4">
    <w:name w:val="Appendix Heading 4"/>
    <w:basedOn w:val="Normal"/>
    <w:next w:val="BodyText"/>
    <w:qFormat/>
    <w:pPr>
      <w:tabs>
        <w:tab w:val="left" w:pos="567"/>
      </w:tabs>
      <w:spacing w:before="120" w:after="120"/>
      <w:ind w:left="567" w:hanging="567"/>
    </w:pPr>
    <w:rPr>
      <w:rFonts w:cs="Arial"/>
    </w:rPr>
  </w:style>
  <w:style w:type="paragraph" w:customStyle="1" w:styleId="equation">
    <w:name w:val="equation"/>
    <w:basedOn w:val="Normal"/>
    <w:next w:val="BodyText"/>
    <w:qFormat/>
    <w:pPr>
      <w:keepNext/>
      <w:numPr>
        <w:numId w:val="11"/>
      </w:numPr>
      <w:tabs>
        <w:tab w:val="left" w:pos="142"/>
      </w:tabs>
      <w:spacing w:after="120"/>
      <w:jc w:val="right"/>
    </w:pPr>
    <w:rPr>
      <w:rFonts w:eastAsia="Times New Roman" w:cs="Times New Roman"/>
      <w:szCs w:val="24"/>
      <w:lang w:eastAsia="en-US"/>
    </w:rPr>
  </w:style>
  <w:style w:type="paragraph" w:customStyle="1" w:styleId="Gruformel1">
    <w:name w:val="Grußformel1"/>
    <w:basedOn w:val="Normal"/>
    <w:next w:val="Normal"/>
    <w:qFormat/>
    <w:pPr>
      <w:numPr>
        <w:numId w:val="13"/>
      </w:numPr>
      <w:spacing w:before="120" w:after="240"/>
      <w:ind w:left="1985" w:hanging="1985"/>
    </w:pPr>
    <w:rPr>
      <w:b/>
      <w:sz w:val="24"/>
      <w:szCs w:val="28"/>
      <w:lang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pPr>
      <w:suppressAutoHyphens w:val="0"/>
    </w:pPr>
    <w:rPr>
      <w:rFonts w:ascii="Arial" w:hAnsi="Arial" w:cs="Calibri"/>
      <w:sz w:val="22"/>
      <w:szCs w:val="22"/>
    </w:rPr>
  </w:style>
  <w:style w:type="paragraph" w:styleId="BodyText3">
    <w:name w:val="Body Text 3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120"/>
      <w:ind w:left="720"/>
    </w:pPr>
    <w:rPr>
      <w:bCs/>
      <w:i/>
      <w:i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numbering" w:styleId="ArticleSection">
    <w:name w:val="Outline List 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nextcloud.iala-aism.org/index.php/f/172160" TargetMode="External"/><Relationship Id="rId26" Type="http://schemas.openxmlformats.org/officeDocument/2006/relationships/hyperlink" Target="https://www.iala-aism.org/product/operational-procedure-for-delivering-vts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ala-aism.org/product/g1161-evaluation-of-platforms-for-the-provision-of-maritime-services-in-the-context-of-e-navigation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nextcloud.iala-aism.org/index.php/f/171996" TargetMode="External"/><Relationship Id="rId25" Type="http://schemas.openxmlformats.org/officeDocument/2006/relationships/hyperlink" Target="https://nextcloud.iala-aism.org/index.php/f/116995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xtcloud.iala-aism.org/index.php/f/171996" TargetMode="External"/><Relationship Id="rId20" Type="http://schemas.openxmlformats.org/officeDocument/2006/relationships/hyperlink" Target="https://www.iala-aism.org/product/g1157-web-service-based-s-100-data-exchange/?download=true" TargetMode="External"/><Relationship Id="rId29" Type="http://schemas.openxmlformats.org/officeDocument/2006/relationships/hyperlink" Target="https://www.iala-aism.org/product/r014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ebstore.iec.ch/publication/64543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iala-aism.org/product/g1128-specification-e-navigation-technical-services/?download=true" TargetMode="External"/><Relationship Id="rId23" Type="http://schemas.openxmlformats.org/officeDocument/2006/relationships/hyperlink" Target="https://webstore.iec.ch/publication/64543" TargetMode="External"/><Relationship Id="rId28" Type="http://schemas.openxmlformats.org/officeDocument/2006/relationships/hyperlink" Target="https://www.iala-aism.org/repository/20220217/recommendations/R0127%20(V-127)%20Ed3.2%20VTS%20Operations%20January%202022.pdf" TargetMode="External"/><Relationship Id="rId10" Type="http://schemas.openxmlformats.org/officeDocument/2006/relationships/hyperlink" Target="https://www.iala-aism.org/repository/20220217/recommendations/R0127%20(V-127)%20Ed3.2%20VTS%20Operations%20January%202022.pdf" TargetMode="External"/><Relationship Id="rId19" Type="http://schemas.openxmlformats.org/officeDocument/2006/relationships/hyperlink" Target="https://www.iala-aism.org/product/g1143-unique-identifiers-for-maritime-resources-2/?download=true" TargetMode="External"/><Relationship Id="rId31" Type="http://schemas.openxmlformats.org/officeDocument/2006/relationships/hyperlink" Target="https://www.imo.org/en/OurWork/Facilitation/Pages/IMOCompendium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ala-aism.org/repository/20220217/guidelines/G1141%20Ed2.1%20Operational%20Procedures%20for%20Delivering%20VTS%20January%202022.pdf" TargetMode="External"/><Relationship Id="rId14" Type="http://schemas.openxmlformats.org/officeDocument/2006/relationships/hyperlink" Target="https://www.iala-aism.org/repository/20220217/guidelines/G1161%20Evaluation%20of%20Platforms%20for%20the%20Provision%20of%20Maritime%20Services%20Ed1.0.pdf" TargetMode="External"/><Relationship Id="rId22" Type="http://schemas.openxmlformats.org/officeDocument/2006/relationships/hyperlink" Target="http://maritimeconnectivity.net/" TargetMode="External"/><Relationship Id="rId27" Type="http://schemas.openxmlformats.org/officeDocument/2006/relationships/hyperlink" Target="https://www.iala-aism.org/product/provision-of-vts-types-of-service-1089/" TargetMode="External"/><Relationship Id="rId30" Type="http://schemas.openxmlformats.org/officeDocument/2006/relationships/hyperlink" Target="https://www.iala-aism.org/product/ship-reporting-from-a-shore-based-perspective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8D0C4-4840-4E63-AF7C-A6FB8F022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77414-260C-488D-9F21-694BDEA3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1915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dc:description/>
  <cp:lastModifiedBy>Jaime Alvarez</cp:lastModifiedBy>
  <cp:revision>22</cp:revision>
  <dcterms:created xsi:type="dcterms:W3CDTF">2022-02-10T11:13:00Z</dcterms:created>
  <dcterms:modified xsi:type="dcterms:W3CDTF">2022-08-31T16:10:00Z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</Properties>
</file>