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0B3B1A" w14:paraId="1CA83A05" w14:textId="77777777" w:rsidTr="00050DA7">
        <w:tc>
          <w:tcPr>
            <w:tcW w:w="4428" w:type="dxa"/>
          </w:tcPr>
          <w:p w14:paraId="6AD18985" w14:textId="77777777" w:rsidR="000348ED" w:rsidRPr="000B3B1A" w:rsidRDefault="005D05AC" w:rsidP="00D64A02">
            <w:pPr>
              <w:tabs>
                <w:tab w:val="left" w:pos="851"/>
              </w:tabs>
            </w:pPr>
            <w:r w:rsidRPr="000B3B1A">
              <w:t>From:</w:t>
            </w:r>
            <w:r w:rsidRPr="000B3B1A">
              <w:tab/>
            </w:r>
            <w:r w:rsidR="00D64A02" w:rsidRPr="000B3B1A">
              <w:t>e-NAV</w:t>
            </w:r>
            <w:r w:rsidR="00CA04AF" w:rsidRPr="000B3B1A">
              <w:t xml:space="preserve"> </w:t>
            </w:r>
            <w:r w:rsidRPr="000B3B1A">
              <w:t>C</w:t>
            </w:r>
            <w:r w:rsidR="00050DA7" w:rsidRPr="000B3B1A">
              <w:t>ommittee</w:t>
            </w:r>
          </w:p>
        </w:tc>
        <w:tc>
          <w:tcPr>
            <w:tcW w:w="5461" w:type="dxa"/>
          </w:tcPr>
          <w:p w14:paraId="03959600" w14:textId="6632E6EB" w:rsidR="000348ED" w:rsidRPr="000B3B1A" w:rsidRDefault="00855DE6" w:rsidP="00D64A02">
            <w:pPr>
              <w:jc w:val="right"/>
            </w:pPr>
            <w:r w:rsidRPr="000B3B1A">
              <w:t>PAP22</w:t>
            </w:r>
            <w:r w:rsidR="005D05AC" w:rsidRPr="000B3B1A">
              <w:t>/output/</w:t>
            </w:r>
            <w:r w:rsidR="000B3B1A" w:rsidRPr="000B3B1A">
              <w:t>3</w:t>
            </w:r>
          </w:p>
        </w:tc>
      </w:tr>
      <w:tr w:rsidR="000348ED" w:rsidRPr="000B3B1A" w14:paraId="5F5EDEF8" w14:textId="77777777" w:rsidTr="00050DA7">
        <w:tc>
          <w:tcPr>
            <w:tcW w:w="4428" w:type="dxa"/>
          </w:tcPr>
          <w:p w14:paraId="69CB9F32" w14:textId="202623AB" w:rsidR="00A06DFC" w:rsidRPr="000B3B1A" w:rsidRDefault="005D05AC" w:rsidP="00A06DFC">
            <w:pPr>
              <w:tabs>
                <w:tab w:val="left" w:pos="851"/>
              </w:tabs>
            </w:pPr>
            <w:r w:rsidRPr="000B3B1A">
              <w:t>To:</w:t>
            </w:r>
            <w:r w:rsidRPr="000B3B1A">
              <w:tab/>
            </w:r>
            <w:r w:rsidR="00D64A02" w:rsidRPr="000B3B1A">
              <w:t>IALA Council</w:t>
            </w:r>
          </w:p>
          <w:p w14:paraId="016F913D" w14:textId="5D1EB8D3" w:rsidR="00D64A02" w:rsidRPr="000B3B1A" w:rsidRDefault="00D64A02" w:rsidP="00D64A02">
            <w:pPr>
              <w:tabs>
                <w:tab w:val="left" w:pos="851"/>
              </w:tabs>
            </w:pPr>
          </w:p>
        </w:tc>
        <w:tc>
          <w:tcPr>
            <w:tcW w:w="5461" w:type="dxa"/>
          </w:tcPr>
          <w:p w14:paraId="3023902D" w14:textId="45DE7AB4" w:rsidR="000348ED" w:rsidRPr="000B3B1A" w:rsidRDefault="00855DE6" w:rsidP="00D64A02">
            <w:pPr>
              <w:jc w:val="right"/>
            </w:pPr>
            <w:r w:rsidRPr="000B3B1A">
              <w:t>26 October 2011</w:t>
            </w:r>
          </w:p>
        </w:tc>
      </w:tr>
    </w:tbl>
    <w:p w14:paraId="7A78A631" w14:textId="2C5553CE" w:rsidR="000348ED" w:rsidRPr="000B3B1A" w:rsidRDefault="003C4840" w:rsidP="00A06DFC">
      <w:pPr>
        <w:pStyle w:val="Title"/>
        <w:spacing w:before="480" w:after="120"/>
      </w:pPr>
      <w:r w:rsidRPr="000B3B1A">
        <w:t>Information Paper</w:t>
      </w:r>
    </w:p>
    <w:p w14:paraId="32682767" w14:textId="77777777" w:rsidR="000B3B1A" w:rsidRPr="000B3B1A" w:rsidRDefault="000B3B1A" w:rsidP="000B3B1A">
      <w:pPr>
        <w:pStyle w:val="Title"/>
        <w:spacing w:after="120"/>
      </w:pPr>
      <w:r w:rsidRPr="000B3B1A">
        <w:rPr>
          <w:color w:val="000000"/>
        </w:rPr>
        <w:t>Strategy items regarding Polar routes</w:t>
      </w:r>
      <w:bookmarkStart w:id="0" w:name="_GoBack"/>
      <w:bookmarkEnd w:id="0"/>
    </w:p>
    <w:p w14:paraId="60BC633F" w14:textId="77777777" w:rsidR="000B3B1A" w:rsidRPr="000B3B1A" w:rsidRDefault="000B3B1A" w:rsidP="000B3B1A">
      <w:pPr>
        <w:pStyle w:val="Heading1"/>
        <w:numPr>
          <w:ilvl w:val="0"/>
          <w:numId w:val="11"/>
        </w:numPr>
        <w:tabs>
          <w:tab w:val="clear" w:pos="432"/>
        </w:tabs>
        <w:ind w:left="567" w:hanging="567"/>
        <w:rPr>
          <w:lang w:val="en-GB"/>
        </w:rPr>
      </w:pPr>
      <w:r w:rsidRPr="000B3B1A">
        <w:rPr>
          <w:lang w:val="en-GB"/>
        </w:rPr>
        <w:t>Introduction</w:t>
      </w:r>
    </w:p>
    <w:p w14:paraId="36385702" w14:textId="3EA40747" w:rsidR="000B3B1A" w:rsidRPr="000B3B1A" w:rsidRDefault="000B3B1A" w:rsidP="000B3B1A">
      <w:pPr>
        <w:pStyle w:val="BodyText"/>
        <w:rPr>
          <w:rFonts w:eastAsia="Times New Roman" w:cs="Arial"/>
          <w:color w:val="000000"/>
          <w:lang w:eastAsia="sv-SE"/>
        </w:rPr>
      </w:pPr>
      <w:r w:rsidRPr="000B3B1A">
        <w:rPr>
          <w:rFonts w:eastAsia="Times New Roman" w:cs="Arial"/>
          <w:color w:val="000000"/>
          <w:lang w:eastAsia="sv-SE"/>
        </w:rPr>
        <w:t xml:space="preserve">The 2010-14 IALA strategy includes work </w:t>
      </w:r>
      <w:r w:rsidRPr="000B3B1A">
        <w:rPr>
          <w:rFonts w:eastAsia="Times New Roman" w:cs="Arial"/>
          <w:color w:val="000000"/>
          <w:lang w:eastAsia="sv-SE"/>
        </w:rPr>
        <w:t>items relating to Polar routes.</w:t>
      </w:r>
    </w:p>
    <w:tbl>
      <w:tblPr>
        <w:tblW w:w="9899" w:type="dxa"/>
        <w:jc w:val="center"/>
        <w:tblInd w:w="3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899"/>
      </w:tblGrid>
      <w:tr w:rsidR="000B3B1A" w:rsidRPr="000B3B1A" w14:paraId="7269F2DC" w14:textId="77777777" w:rsidTr="000B3B1A">
        <w:trPr>
          <w:cantSplit/>
          <w:jc w:val="center"/>
        </w:trPr>
        <w:tc>
          <w:tcPr>
            <w:tcW w:w="9899" w:type="dxa"/>
            <w:tcBorders>
              <w:bottom w:val="single" w:sz="4" w:space="0" w:color="auto"/>
            </w:tcBorders>
            <w:shd w:val="clear" w:color="auto" w:fill="D9D9D9"/>
            <w:tcMar>
              <w:top w:w="28" w:type="dxa"/>
              <w:left w:w="28" w:type="dxa"/>
              <w:bottom w:w="28" w:type="dxa"/>
              <w:right w:w="28" w:type="dxa"/>
            </w:tcMar>
          </w:tcPr>
          <w:p w14:paraId="2A6EA984" w14:textId="35B7F6E0" w:rsidR="000B3B1A" w:rsidRPr="000B3B1A" w:rsidRDefault="000B3B1A" w:rsidP="000B3B1A">
            <w:pPr>
              <w:pStyle w:val="ListNumber"/>
              <w:numPr>
                <w:ilvl w:val="0"/>
                <w:numId w:val="25"/>
              </w:numPr>
              <w:rPr>
                <w:b/>
                <w:bCs/>
              </w:rPr>
            </w:pPr>
            <w:r w:rsidRPr="000B3B1A">
              <w:rPr>
                <w:b/>
                <w:bCs/>
              </w:rPr>
              <w:t xml:space="preserve">Polar Routes: Establish a future scenario and IALA’s response to it. </w:t>
            </w:r>
            <w:r w:rsidRPr="000B3B1A">
              <w:rPr>
                <w:b/>
                <w:bCs/>
              </w:rPr>
              <w:t xml:space="preserve"> </w:t>
            </w:r>
            <w:r w:rsidRPr="000B3B1A">
              <w:rPr>
                <w:b/>
              </w:rPr>
              <w:t>The importance of coordination and cooperation between polar interests, both public and private, is imperative for ensuring the best practice in safety of navigation.  IALA shall provide the framework to move from the current level to a more appropriate level of navigation safety, given a projected increase in maritime usage of the waterways by:</w:t>
            </w:r>
          </w:p>
        </w:tc>
      </w:tr>
      <w:tr w:rsidR="000B3B1A" w:rsidRPr="000B3B1A" w14:paraId="6562BA58" w14:textId="77777777" w:rsidTr="000B3B1A">
        <w:trPr>
          <w:cantSplit/>
          <w:jc w:val="center"/>
        </w:trPr>
        <w:tc>
          <w:tcPr>
            <w:tcW w:w="9899" w:type="dxa"/>
            <w:shd w:val="clear" w:color="auto" w:fill="FFFFFF" w:themeFill="background1"/>
            <w:tcMar>
              <w:top w:w="28" w:type="dxa"/>
              <w:left w:w="28" w:type="dxa"/>
              <w:bottom w:w="28" w:type="dxa"/>
              <w:right w:w="28" w:type="dxa"/>
            </w:tcMar>
          </w:tcPr>
          <w:p w14:paraId="6596CDD1" w14:textId="77777777" w:rsidR="000B3B1A" w:rsidRPr="000B3B1A" w:rsidRDefault="000B3B1A" w:rsidP="004C18A2">
            <w:pPr>
              <w:pStyle w:val="ListNumber"/>
            </w:pPr>
            <w:r w:rsidRPr="000B3B1A">
              <w:rPr>
                <w:b/>
              </w:rPr>
              <w:t xml:space="preserve">1. </w:t>
            </w:r>
            <w:r w:rsidRPr="000B3B1A">
              <w:t>Performing an inventory of existing navigation and communication systems in the polar regions</w:t>
            </w:r>
          </w:p>
        </w:tc>
      </w:tr>
      <w:tr w:rsidR="000B3B1A" w:rsidRPr="000B3B1A" w14:paraId="155FBF47" w14:textId="77777777" w:rsidTr="000B3B1A">
        <w:trPr>
          <w:cantSplit/>
          <w:jc w:val="center"/>
        </w:trPr>
        <w:tc>
          <w:tcPr>
            <w:tcW w:w="9899" w:type="dxa"/>
            <w:shd w:val="clear" w:color="auto" w:fill="FFFFFF" w:themeFill="background1"/>
            <w:tcMar>
              <w:top w:w="28" w:type="dxa"/>
              <w:left w:w="28" w:type="dxa"/>
              <w:bottom w:w="28" w:type="dxa"/>
              <w:right w:w="28" w:type="dxa"/>
            </w:tcMar>
          </w:tcPr>
          <w:p w14:paraId="17939FA2" w14:textId="77777777" w:rsidR="000B3B1A" w:rsidRPr="000B3B1A" w:rsidRDefault="000B3B1A" w:rsidP="004C18A2">
            <w:pPr>
              <w:pStyle w:val="ListNumber"/>
            </w:pPr>
            <w:r w:rsidRPr="000B3B1A">
              <w:rPr>
                <w:b/>
              </w:rPr>
              <w:t xml:space="preserve">2. </w:t>
            </w:r>
            <w:r w:rsidRPr="000B3B1A">
              <w:t>Expanding and further developing the inventory to include possibilities and required measures with respect to conditions associated with various future climate change scenarios</w:t>
            </w:r>
          </w:p>
        </w:tc>
      </w:tr>
      <w:tr w:rsidR="000B3B1A" w:rsidRPr="000B3B1A" w14:paraId="6599F8FB" w14:textId="77777777" w:rsidTr="000B3B1A">
        <w:trPr>
          <w:cantSplit/>
          <w:jc w:val="center"/>
        </w:trPr>
        <w:tc>
          <w:tcPr>
            <w:tcW w:w="9899" w:type="dxa"/>
            <w:tcBorders>
              <w:bottom w:val="single" w:sz="4" w:space="0" w:color="auto"/>
            </w:tcBorders>
            <w:shd w:val="clear" w:color="auto" w:fill="FFFFFF" w:themeFill="background1"/>
            <w:tcMar>
              <w:top w:w="28" w:type="dxa"/>
              <w:left w:w="28" w:type="dxa"/>
              <w:bottom w:w="28" w:type="dxa"/>
              <w:right w:w="28" w:type="dxa"/>
            </w:tcMar>
          </w:tcPr>
          <w:p w14:paraId="1539CDD4" w14:textId="77777777" w:rsidR="000B3B1A" w:rsidRPr="000B3B1A" w:rsidRDefault="000B3B1A" w:rsidP="004C18A2">
            <w:pPr>
              <w:pStyle w:val="ListNumber"/>
            </w:pPr>
            <w:r w:rsidRPr="000B3B1A">
              <w:rPr>
                <w:b/>
              </w:rPr>
              <w:t xml:space="preserve">3. </w:t>
            </w:r>
            <w:r w:rsidRPr="000B3B1A">
              <w:t>Production of an IALA guideline on the establishment and operation of standard navigation and communication systems in ice covered waters for year-round polar route navigation</w:t>
            </w:r>
          </w:p>
        </w:tc>
      </w:tr>
    </w:tbl>
    <w:p w14:paraId="5EF1B383" w14:textId="77777777" w:rsidR="000B3B1A" w:rsidRPr="000B3B1A" w:rsidRDefault="000B3B1A" w:rsidP="000B3B1A">
      <w:pPr>
        <w:pStyle w:val="BodyText"/>
        <w:rPr>
          <w:rFonts w:eastAsia="Times New Roman" w:cs="Arial"/>
          <w:color w:val="000000"/>
          <w:lang w:eastAsia="sv-SE"/>
        </w:rPr>
      </w:pPr>
    </w:p>
    <w:p w14:paraId="79808BDE" w14:textId="763710B8" w:rsidR="000B3B1A" w:rsidRPr="000B3B1A" w:rsidRDefault="000B3B1A" w:rsidP="000B3B1A">
      <w:pPr>
        <w:pStyle w:val="BodyText"/>
      </w:pPr>
      <w:r w:rsidRPr="000B3B1A">
        <w:rPr>
          <w:rFonts w:eastAsia="Times New Roman" w:cs="Arial"/>
          <w:color w:val="000000"/>
          <w:lang w:eastAsia="sv-SE"/>
        </w:rPr>
        <w:t>ANM has actions to develop Recommendations or G</w:t>
      </w:r>
      <w:r w:rsidRPr="000B3B1A">
        <w:rPr>
          <w:rFonts w:eastAsia="Times New Roman" w:cs="Arial"/>
          <w:color w:val="000000"/>
          <w:lang w:eastAsia="sv-SE"/>
        </w:rPr>
        <w:t>uidelines in al</w:t>
      </w:r>
      <w:r w:rsidRPr="000B3B1A">
        <w:rPr>
          <w:rFonts w:eastAsia="Times New Roman" w:cs="Arial"/>
          <w:color w:val="000000"/>
          <w:lang w:eastAsia="sv-SE"/>
        </w:rPr>
        <w:t>l three areas whilst all other C</w:t>
      </w:r>
      <w:r w:rsidRPr="000B3B1A">
        <w:rPr>
          <w:rFonts w:eastAsia="Times New Roman" w:cs="Arial"/>
          <w:color w:val="000000"/>
          <w:lang w:eastAsia="sv-SE"/>
        </w:rPr>
        <w:t>ommit</w:t>
      </w:r>
      <w:r w:rsidRPr="000B3B1A">
        <w:rPr>
          <w:rFonts w:eastAsia="Times New Roman" w:cs="Arial"/>
          <w:color w:val="000000"/>
          <w:lang w:eastAsia="sv-SE"/>
        </w:rPr>
        <w:t>tees have an action to develop Recommendations and G</w:t>
      </w:r>
      <w:r w:rsidRPr="000B3B1A">
        <w:rPr>
          <w:rFonts w:eastAsia="Times New Roman" w:cs="Arial"/>
          <w:color w:val="000000"/>
          <w:lang w:eastAsia="sv-SE"/>
        </w:rPr>
        <w:t>uidelines regarding item</w:t>
      </w:r>
      <w:r w:rsidRPr="000B3B1A">
        <w:rPr>
          <w:rFonts w:eastAsia="Times New Roman" w:cs="Arial"/>
          <w:color w:val="000000"/>
          <w:lang w:eastAsia="sv-SE"/>
        </w:rPr>
        <w:t xml:space="preserve"> </w:t>
      </w:r>
      <w:r w:rsidRPr="000B3B1A">
        <w:rPr>
          <w:rFonts w:eastAsia="Times New Roman" w:cs="Arial"/>
          <w:color w:val="000000"/>
          <w:lang w:eastAsia="sv-SE"/>
        </w:rPr>
        <w:t>3.</w:t>
      </w:r>
    </w:p>
    <w:p w14:paraId="5382B756" w14:textId="77777777" w:rsidR="000B3B1A" w:rsidRPr="000B3B1A" w:rsidRDefault="000B3B1A" w:rsidP="000B3B1A">
      <w:pPr>
        <w:pStyle w:val="Heading1"/>
        <w:numPr>
          <w:ilvl w:val="0"/>
          <w:numId w:val="11"/>
        </w:numPr>
        <w:tabs>
          <w:tab w:val="clear" w:pos="432"/>
        </w:tabs>
        <w:ind w:left="567" w:hanging="567"/>
        <w:rPr>
          <w:lang w:val="en-GB"/>
        </w:rPr>
      </w:pPr>
      <w:r w:rsidRPr="000B3B1A">
        <w:rPr>
          <w:lang w:val="en-GB"/>
        </w:rPr>
        <w:t>Discussion</w:t>
      </w:r>
    </w:p>
    <w:p w14:paraId="58C04977" w14:textId="26A7144D" w:rsidR="000B3B1A" w:rsidRPr="000B3B1A" w:rsidRDefault="000B3B1A" w:rsidP="000B3B1A">
      <w:pPr>
        <w:pStyle w:val="BodyText"/>
      </w:pPr>
      <w:r w:rsidRPr="000B3B1A">
        <w:rPr>
          <w:rFonts w:eastAsia="Times New Roman" w:cs="Arial"/>
          <w:color w:val="000000"/>
          <w:lang w:eastAsia="sv-SE"/>
        </w:rPr>
        <w:t>Reco</w:t>
      </w:r>
      <w:r w:rsidRPr="000B3B1A">
        <w:rPr>
          <w:rFonts w:eastAsia="Times New Roman" w:cs="Arial"/>
          <w:color w:val="000000"/>
          <w:lang w:eastAsia="sv-SE"/>
        </w:rPr>
        <w:t xml:space="preserve">gnising the discussions during IMO NAV </w:t>
      </w:r>
      <w:r w:rsidRPr="000B3B1A">
        <w:rPr>
          <w:rFonts w:eastAsia="Times New Roman" w:cs="Arial"/>
          <w:color w:val="000000"/>
          <w:lang w:eastAsia="sv-SE"/>
        </w:rPr>
        <w:t>7 on VTMIS in Polar waters and t</w:t>
      </w:r>
      <w:r w:rsidRPr="000B3B1A">
        <w:rPr>
          <w:rFonts w:eastAsia="Times New Roman" w:cs="Arial"/>
          <w:color w:val="000000"/>
          <w:lang w:eastAsia="sv-SE"/>
        </w:rPr>
        <w:t>he position of the IALA Arctic F</w:t>
      </w:r>
      <w:r w:rsidRPr="000B3B1A">
        <w:rPr>
          <w:rFonts w:eastAsia="Times New Roman" w:cs="Arial"/>
          <w:color w:val="000000"/>
          <w:lang w:eastAsia="sv-SE"/>
        </w:rPr>
        <w:t>orum</w:t>
      </w:r>
      <w:r w:rsidRPr="000B3B1A">
        <w:rPr>
          <w:rFonts w:eastAsia="Times New Roman" w:cs="Arial"/>
          <w:color w:val="000000"/>
          <w:lang w:eastAsia="sv-SE"/>
        </w:rPr>
        <w:t>,</w:t>
      </w:r>
      <w:r w:rsidRPr="000B3B1A">
        <w:t xml:space="preserve"> PAP22 discussed the progressing of the related work program</w:t>
      </w:r>
      <w:r w:rsidRPr="000B3B1A">
        <w:t>me items</w:t>
      </w:r>
      <w:r w:rsidRPr="000B3B1A">
        <w:t xml:space="preserve"> during the </w:t>
      </w:r>
      <w:r w:rsidRPr="000B3B1A">
        <w:t>PAP / Strategy G</w:t>
      </w:r>
      <w:r w:rsidRPr="000B3B1A">
        <w:t>roup meeting and subsequently during proposals for workshops and seminars</w:t>
      </w:r>
      <w:r w:rsidRPr="000B3B1A">
        <w:t xml:space="preserve"> during PAP22</w:t>
      </w:r>
      <w:r w:rsidRPr="000B3B1A">
        <w:t>.</w:t>
      </w:r>
    </w:p>
    <w:p w14:paraId="63CF314C" w14:textId="77777777" w:rsidR="000B3B1A" w:rsidRPr="000B3B1A" w:rsidRDefault="000B3B1A" w:rsidP="000B3B1A">
      <w:pPr>
        <w:pStyle w:val="BodyText"/>
      </w:pPr>
      <w:r w:rsidRPr="000B3B1A">
        <w:t>EEP is currently proposing a technical workshop in 2013 to progress item 3.</w:t>
      </w:r>
    </w:p>
    <w:p w14:paraId="1EA30D00" w14:textId="308A29CA" w:rsidR="000B3B1A" w:rsidRPr="000B3B1A" w:rsidRDefault="000B3B1A" w:rsidP="000B3B1A">
      <w:pPr>
        <w:pStyle w:val="BodyText"/>
      </w:pPr>
      <w:r w:rsidRPr="000B3B1A">
        <w:t>ANM had intended to complete tasks 1,</w:t>
      </w:r>
      <w:r w:rsidRPr="000B3B1A">
        <w:t xml:space="preserve"> </w:t>
      </w:r>
      <w:r w:rsidRPr="000B3B1A">
        <w:t>2 &amp; 3 through the Arctic forum.  As this forum is now in abeyance an alternative approach could be to include the work items in the proposed EEP workshop.  This would expand the scope of the workshop from purely engineering solution to cover all aspects of the establishment and operation of standard navigation and communication systems in ice covered waters for year-round polar route navigation</w:t>
      </w:r>
      <w:r w:rsidRPr="000B3B1A">
        <w:t>.</w:t>
      </w:r>
    </w:p>
    <w:p w14:paraId="70366B0D" w14:textId="77777777" w:rsidR="000B3B1A" w:rsidRPr="000B3B1A" w:rsidRDefault="000B3B1A" w:rsidP="000B3B1A">
      <w:pPr>
        <w:pStyle w:val="BodyText"/>
      </w:pPr>
      <w:r w:rsidRPr="000B3B1A">
        <w:t xml:space="preserve">PAP believes that for IALA to produce recommendations and guidelines regarding Navigational requirements in Polar </w:t>
      </w:r>
      <w:proofErr w:type="gramStart"/>
      <w:r w:rsidRPr="000B3B1A">
        <w:t>regions</w:t>
      </w:r>
      <w:proofErr w:type="gramEnd"/>
      <w:r w:rsidRPr="000B3B1A">
        <w:t xml:space="preserve"> should involve all Polar countries.  This may not be achievable during the proposed workshop.</w:t>
      </w:r>
    </w:p>
    <w:p w14:paraId="0FF6FFF9" w14:textId="19C18C35" w:rsidR="000B3B1A" w:rsidRPr="000B3B1A" w:rsidRDefault="000B3B1A" w:rsidP="000B3B1A">
      <w:pPr>
        <w:pStyle w:val="BodyText"/>
      </w:pPr>
      <w:r w:rsidRPr="000B3B1A">
        <w:t>It is considered that the technical aspects of the polar tasks can be progressed but it is necessary to have guidance as to whether the operational and navigational requirement aspects should be progressed during the current Work Programme.</w:t>
      </w:r>
    </w:p>
    <w:p w14:paraId="0FFB8E19" w14:textId="77777777" w:rsidR="000B3B1A" w:rsidRPr="000B3B1A" w:rsidRDefault="000B3B1A">
      <w:pPr>
        <w:rPr>
          <w:rFonts w:eastAsia="Calibri" w:cs="Calibri"/>
          <w:b/>
          <w:szCs w:val="22"/>
          <w:lang w:eastAsia="en-GB"/>
        </w:rPr>
      </w:pPr>
      <w:r w:rsidRPr="000B3B1A">
        <w:rPr>
          <w:b/>
        </w:rPr>
        <w:br w:type="page"/>
      </w:r>
    </w:p>
    <w:p w14:paraId="6DE39613" w14:textId="11C6BADE" w:rsidR="000B3B1A" w:rsidRPr="000B3B1A" w:rsidRDefault="000B3B1A" w:rsidP="000B3B1A">
      <w:pPr>
        <w:pStyle w:val="Heading1"/>
        <w:rPr>
          <w:lang w:val="en-GB"/>
        </w:rPr>
      </w:pPr>
      <w:r w:rsidRPr="000B3B1A">
        <w:rPr>
          <w:lang w:val="en-GB"/>
        </w:rPr>
        <w:lastRenderedPageBreak/>
        <w:t>Action requested</w:t>
      </w:r>
    </w:p>
    <w:p w14:paraId="62BF1BB0" w14:textId="4F01420D" w:rsidR="00D64A02" w:rsidRPr="000B3B1A" w:rsidRDefault="000B3B1A" w:rsidP="000B3B1A">
      <w:pPr>
        <w:pStyle w:val="BodyText"/>
      </w:pPr>
      <w:r w:rsidRPr="000B3B1A">
        <w:t>The Council is requested to</w:t>
      </w:r>
      <w:r w:rsidRPr="000B3B1A">
        <w:rPr>
          <w:lang w:eastAsia="de-DE"/>
        </w:rPr>
        <w:t xml:space="preserve"> consider the information provided and determine if these strategy items should be progressed beyond the technical issues in the current Work Programme.</w:t>
      </w:r>
    </w:p>
    <w:sectPr w:rsidR="00D64A02" w:rsidRPr="000B3B1A" w:rsidSect="0081775A">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F2BBB" w14:textId="77777777" w:rsidR="008E0525" w:rsidRDefault="008E0525" w:rsidP="00002906">
      <w:r>
        <w:separator/>
      </w:r>
    </w:p>
  </w:endnote>
  <w:endnote w:type="continuationSeparator" w:id="0">
    <w:p w14:paraId="7FA3A2F4" w14:textId="77777777" w:rsidR="008E0525" w:rsidRDefault="008E0525"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AF6A2" w14:textId="77777777" w:rsidR="00002906" w:rsidRDefault="00002906">
    <w:pPr>
      <w:pStyle w:val="Footer"/>
    </w:pPr>
    <w:r>
      <w:tab/>
    </w:r>
    <w:r>
      <w:fldChar w:fldCharType="begin"/>
    </w:r>
    <w:r>
      <w:instrText xml:space="preserve"> PAGE   \* MERGEFORMAT </w:instrText>
    </w:r>
    <w:r>
      <w:fldChar w:fldCharType="separate"/>
    </w:r>
    <w:r w:rsidR="000B3B1A">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82FCA" w14:textId="77777777" w:rsidR="008E0525" w:rsidRDefault="008E0525" w:rsidP="00002906">
      <w:r>
        <w:separator/>
      </w:r>
    </w:p>
  </w:footnote>
  <w:footnote w:type="continuationSeparator" w:id="0">
    <w:p w14:paraId="666D6368" w14:textId="77777777" w:rsidR="008E0525" w:rsidRDefault="008E0525"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E243092"/>
    <w:multiLevelType w:val="hybridMultilevel"/>
    <w:tmpl w:val="0C906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0B35130"/>
    <w:multiLevelType w:val="hybridMultilevel"/>
    <w:tmpl w:val="D222001E"/>
    <w:lvl w:ilvl="0" w:tplc="D696D2AA">
      <w:start w:val="1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4"/>
  </w:num>
  <w:num w:numId="6">
    <w:abstractNumId w:val="11"/>
  </w:num>
  <w:num w:numId="7">
    <w:abstractNumId w:val="8"/>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3"/>
  </w:num>
  <w:num w:numId="20">
    <w:abstractNumId w:val="9"/>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C0"/>
    <w:rsid w:val="00002906"/>
    <w:rsid w:val="00031A92"/>
    <w:rsid w:val="000348ED"/>
    <w:rsid w:val="00036801"/>
    <w:rsid w:val="00050DA7"/>
    <w:rsid w:val="000A5A01"/>
    <w:rsid w:val="000B3B1A"/>
    <w:rsid w:val="001138C0"/>
    <w:rsid w:val="00135447"/>
    <w:rsid w:val="00152273"/>
    <w:rsid w:val="001A654A"/>
    <w:rsid w:val="001C74CF"/>
    <w:rsid w:val="0029602A"/>
    <w:rsid w:val="003C4840"/>
    <w:rsid w:val="003D55DD"/>
    <w:rsid w:val="003E1831"/>
    <w:rsid w:val="00424954"/>
    <w:rsid w:val="004C1386"/>
    <w:rsid w:val="004C220D"/>
    <w:rsid w:val="00575BBD"/>
    <w:rsid w:val="005D05AC"/>
    <w:rsid w:val="00630F7F"/>
    <w:rsid w:val="0064435F"/>
    <w:rsid w:val="006D470F"/>
    <w:rsid w:val="00704F49"/>
    <w:rsid w:val="00727E88"/>
    <w:rsid w:val="00775878"/>
    <w:rsid w:val="0080092C"/>
    <w:rsid w:val="0081775A"/>
    <w:rsid w:val="00855DE6"/>
    <w:rsid w:val="00872453"/>
    <w:rsid w:val="008E0525"/>
    <w:rsid w:val="008F0F05"/>
    <w:rsid w:val="008F13DD"/>
    <w:rsid w:val="00902AA4"/>
    <w:rsid w:val="0097550F"/>
    <w:rsid w:val="009F3B6C"/>
    <w:rsid w:val="009F5C36"/>
    <w:rsid w:val="00A06DFC"/>
    <w:rsid w:val="00A27F12"/>
    <w:rsid w:val="00A30579"/>
    <w:rsid w:val="00AA76C0"/>
    <w:rsid w:val="00B077EC"/>
    <w:rsid w:val="00B15B24"/>
    <w:rsid w:val="00B428DA"/>
    <w:rsid w:val="00B8247E"/>
    <w:rsid w:val="00BE56DF"/>
    <w:rsid w:val="00C3124A"/>
    <w:rsid w:val="00C31804"/>
    <w:rsid w:val="00CA04AF"/>
    <w:rsid w:val="00D57412"/>
    <w:rsid w:val="00D64A02"/>
    <w:rsid w:val="00D66DBE"/>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50AB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D64A02"/>
    <w:rPr>
      <w:rFonts w:ascii="Calibri" w:eastAsia="Calibri" w:hAnsi="Calibri"/>
      <w:sz w:val="22"/>
      <w:szCs w:val="22"/>
      <w:lang w:eastAsia="en-US"/>
    </w:rPr>
  </w:style>
  <w:style w:type="paragraph" w:styleId="BalloonText">
    <w:name w:val="Balloon Text"/>
    <w:basedOn w:val="Normal"/>
    <w:link w:val="BalloonTextChar"/>
    <w:rsid w:val="00D64A02"/>
    <w:rPr>
      <w:rFonts w:ascii="Tahoma" w:hAnsi="Tahoma" w:cs="Tahoma"/>
      <w:sz w:val="16"/>
      <w:szCs w:val="16"/>
    </w:rPr>
  </w:style>
  <w:style w:type="character" w:customStyle="1" w:styleId="BalloonTextChar">
    <w:name w:val="Balloon Text Char"/>
    <w:basedOn w:val="DefaultParagraphFont"/>
    <w:link w:val="BalloonText"/>
    <w:rsid w:val="00D64A02"/>
    <w:rPr>
      <w:rFonts w:ascii="Tahoma" w:hAnsi="Tahoma" w:cs="Tahoma"/>
      <w:sz w:val="16"/>
      <w:szCs w:val="16"/>
      <w:lang w:eastAsia="en-US"/>
    </w:rPr>
  </w:style>
  <w:style w:type="paragraph" w:styleId="ListParagraph">
    <w:name w:val="List Paragraph"/>
    <w:basedOn w:val="Normal"/>
    <w:uiPriority w:val="34"/>
    <w:qFormat/>
    <w:rsid w:val="00A06DFC"/>
    <w:pPr>
      <w:ind w:left="720"/>
      <w:contextualSpacing/>
    </w:pPr>
    <w:rPr>
      <w:rFonts w:ascii="Times New Roman" w:hAnsi="Times New Roman"/>
      <w:sz w:val="24"/>
      <w:szCs w:val="24"/>
      <w:lang w:eastAsia="en-GB"/>
    </w:rPr>
  </w:style>
  <w:style w:type="character" w:customStyle="1" w:styleId="Heading1Char">
    <w:name w:val="Heading 1 Char"/>
    <w:basedOn w:val="DefaultParagraphFont"/>
    <w:link w:val="Heading1"/>
    <w:rsid w:val="000B3B1A"/>
    <w:rPr>
      <w:rFonts w:ascii="Arial" w:eastAsia="MS Mincho" w:hAnsi="Arial"/>
      <w:b/>
      <w:kern w:val="28"/>
      <w:sz w:val="22"/>
      <w:lang w:val="fr-FR" w:eastAsia="de-DE"/>
    </w:rPr>
  </w:style>
  <w:style w:type="character" w:customStyle="1" w:styleId="Heading2Char">
    <w:name w:val="Heading 2 Char"/>
    <w:basedOn w:val="DefaultParagraphFont"/>
    <w:link w:val="Heading2"/>
    <w:rsid w:val="000B3B1A"/>
    <w:rPr>
      <w:rFonts w:ascii="Arial" w:eastAsia="MS Mincho" w:hAnsi="Arial"/>
      <w:b/>
      <w:kern w:val="28"/>
      <w:sz w:val="22"/>
      <w:lang w:val="fr-FR" w:eastAsia="de-DE"/>
    </w:rPr>
  </w:style>
  <w:style w:type="character" w:customStyle="1" w:styleId="TitleChar">
    <w:name w:val="Title Char"/>
    <w:basedOn w:val="DefaultParagraphFont"/>
    <w:link w:val="Title"/>
    <w:rsid w:val="000B3B1A"/>
    <w:rPr>
      <w:rFonts w:ascii="Arial" w:hAnsi="Arial" w:cs="Arial"/>
      <w:b/>
      <w:bCs/>
      <w:kern w:val="28"/>
      <w:sz w:val="32"/>
      <w:szCs w:val="32"/>
      <w:lang w:eastAsia="en-US"/>
    </w:rPr>
  </w:style>
  <w:style w:type="paragraph" w:styleId="ListNumber">
    <w:name w:val="List Number"/>
    <w:basedOn w:val="Normal"/>
    <w:rsid w:val="000B3B1A"/>
    <w:pPr>
      <w:spacing w:before="60" w:after="60"/>
      <w:jc w:val="both"/>
    </w:pPr>
    <w:rPr>
      <w:rFonts w:cs="Arial"/>
      <w:sz w:val="21"/>
      <w:szCs w:val="21"/>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D64A02"/>
    <w:rPr>
      <w:rFonts w:ascii="Calibri" w:eastAsia="Calibri" w:hAnsi="Calibri"/>
      <w:sz w:val="22"/>
      <w:szCs w:val="22"/>
      <w:lang w:eastAsia="en-US"/>
    </w:rPr>
  </w:style>
  <w:style w:type="paragraph" w:styleId="BalloonText">
    <w:name w:val="Balloon Text"/>
    <w:basedOn w:val="Normal"/>
    <w:link w:val="BalloonTextChar"/>
    <w:rsid w:val="00D64A02"/>
    <w:rPr>
      <w:rFonts w:ascii="Tahoma" w:hAnsi="Tahoma" w:cs="Tahoma"/>
      <w:sz w:val="16"/>
      <w:szCs w:val="16"/>
    </w:rPr>
  </w:style>
  <w:style w:type="character" w:customStyle="1" w:styleId="BalloonTextChar">
    <w:name w:val="Balloon Text Char"/>
    <w:basedOn w:val="DefaultParagraphFont"/>
    <w:link w:val="BalloonText"/>
    <w:rsid w:val="00D64A02"/>
    <w:rPr>
      <w:rFonts w:ascii="Tahoma" w:hAnsi="Tahoma" w:cs="Tahoma"/>
      <w:sz w:val="16"/>
      <w:szCs w:val="16"/>
      <w:lang w:eastAsia="en-US"/>
    </w:rPr>
  </w:style>
  <w:style w:type="paragraph" w:styleId="ListParagraph">
    <w:name w:val="List Paragraph"/>
    <w:basedOn w:val="Normal"/>
    <w:uiPriority w:val="34"/>
    <w:qFormat/>
    <w:rsid w:val="00A06DFC"/>
    <w:pPr>
      <w:ind w:left="720"/>
      <w:contextualSpacing/>
    </w:pPr>
    <w:rPr>
      <w:rFonts w:ascii="Times New Roman" w:hAnsi="Times New Roman"/>
      <w:sz w:val="24"/>
      <w:szCs w:val="24"/>
      <w:lang w:eastAsia="en-GB"/>
    </w:rPr>
  </w:style>
  <w:style w:type="character" w:customStyle="1" w:styleId="Heading1Char">
    <w:name w:val="Heading 1 Char"/>
    <w:basedOn w:val="DefaultParagraphFont"/>
    <w:link w:val="Heading1"/>
    <w:rsid w:val="000B3B1A"/>
    <w:rPr>
      <w:rFonts w:ascii="Arial" w:eastAsia="MS Mincho" w:hAnsi="Arial"/>
      <w:b/>
      <w:kern w:val="28"/>
      <w:sz w:val="22"/>
      <w:lang w:val="fr-FR" w:eastAsia="de-DE"/>
    </w:rPr>
  </w:style>
  <w:style w:type="character" w:customStyle="1" w:styleId="Heading2Char">
    <w:name w:val="Heading 2 Char"/>
    <w:basedOn w:val="DefaultParagraphFont"/>
    <w:link w:val="Heading2"/>
    <w:rsid w:val="000B3B1A"/>
    <w:rPr>
      <w:rFonts w:ascii="Arial" w:eastAsia="MS Mincho" w:hAnsi="Arial"/>
      <w:b/>
      <w:kern w:val="28"/>
      <w:sz w:val="22"/>
      <w:lang w:val="fr-FR" w:eastAsia="de-DE"/>
    </w:rPr>
  </w:style>
  <w:style w:type="character" w:customStyle="1" w:styleId="TitleChar">
    <w:name w:val="Title Char"/>
    <w:basedOn w:val="DefaultParagraphFont"/>
    <w:link w:val="Title"/>
    <w:rsid w:val="000B3B1A"/>
    <w:rPr>
      <w:rFonts w:ascii="Arial" w:hAnsi="Arial" w:cs="Arial"/>
      <w:b/>
      <w:bCs/>
      <w:kern w:val="28"/>
      <w:sz w:val="32"/>
      <w:szCs w:val="32"/>
      <w:lang w:eastAsia="en-US"/>
    </w:rPr>
  </w:style>
  <w:style w:type="paragraph" w:styleId="ListNumber">
    <w:name w:val="List Number"/>
    <w:basedOn w:val="Normal"/>
    <w:rsid w:val="000B3B1A"/>
    <w:pPr>
      <w:spacing w:before="60" w:after="60"/>
      <w:jc w:val="both"/>
    </w:pPr>
    <w:rPr>
      <w:rFonts w:cs="Arial"/>
      <w:sz w:val="21"/>
      <w:szCs w:val="21"/>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Internal%20Committee%20Liaison%20Note_Sep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A0995-E767-3F4A-B224-B25FCD96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File\Templates\Internal Committee Liaison Note_Sep10.dot</Template>
  <TotalTime>7</TotalTime>
  <Pages>2</Pages>
  <Words>410</Words>
  <Characters>2338</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Michael Hadley</cp:lastModifiedBy>
  <cp:revision>3</cp:revision>
  <cp:lastPrinted>2006-10-19T10:49:00Z</cp:lastPrinted>
  <dcterms:created xsi:type="dcterms:W3CDTF">2011-10-26T10:40:00Z</dcterms:created>
  <dcterms:modified xsi:type="dcterms:W3CDTF">2011-10-26T10:48:00Z</dcterms:modified>
</cp:coreProperties>
</file>