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62" w:rsidRPr="00993B7D" w:rsidRDefault="00156CEC" w:rsidP="00486BD1">
      <w:pPr>
        <w:pStyle w:val="Title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4" o:spid="_x0000_s1027" type="#_x0000_t202" style="position:absolute;left:0;text-align:left;margin-left:-191.8pt;margin-top:431.3pt;width:422.3pt;height:36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<v:textbox style="layout-flow:vertical;mso-layout-flow-alt:bottom-to-top;mso-next-textbox:#Text Box 114">
              <w:txbxContent>
                <w:p w:rsidR="009653BC" w:rsidRDefault="009653BC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AISM </w:t>
                  </w:r>
                  <w:r>
                    <w:rPr>
                      <w:rFonts w:cs="Arial"/>
                      <w:color w:val="000000"/>
                      <w:lang w:val="fr-FR"/>
                    </w:rPr>
                    <w:t>Association Internationale de Signalisation Maritime</w:t>
                  </w:r>
                  <w:r w:rsidR="00486BD1">
                    <w:rPr>
                      <w:rFonts w:cs="Arial"/>
                      <w:color w:val="000000"/>
                      <w:lang w:val="fr-FR"/>
                    </w:rPr>
                    <w:t xml:space="preserve">   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15" o:spid="_x0000_s1026" type="#_x0000_t202" style="position:absolute;left:0;text-align:left;margin-left:-92.75pt;margin-top:114.85pt;width:225.8pt;height:31.7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<v:textbox style="layout-flow:vertical;mso-layout-flow-alt:bottom-to-top;mso-next-textbox:#Text Box 115">
              <w:txbxContent>
                <w:p w:rsidR="009653BC" w:rsidRDefault="009653BC" w:rsidP="005F188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</w:rPr>
        <w:pict>
          <v:line id="Line 117" o:spid="_x0000_s1031" style="position:absolute;left:0;text-align:left;z-index:251660800;visibility:visibl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</w:pict>
      </w:r>
      <w:r>
        <w:rPr>
          <w:noProof/>
        </w:rPr>
        <w:pict>
          <v:line id="Line 116" o:spid="_x0000_s1030" style="position:absolute;left:0;text-align:left;flip:y;z-index:251659776;visibility:visibl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</w:pict>
      </w:r>
      <w:r>
        <w:rPr>
          <w:noProof/>
        </w:rPr>
        <w:pict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<v:textbox style="mso-next-textbox:#Text Box 118">
              <w:txbxContent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10, rue des </w:t>
                  </w:r>
                  <w:proofErr w:type="spellStart"/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Gaudines</w:t>
                  </w:r>
                  <w:proofErr w:type="spellEnd"/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78100</w:t>
                  </w:r>
                  <w:r w:rsidR="00486BD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,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Saint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Germain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en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Laye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, France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Telephone: +33 1 34 51 70 </w:t>
                  </w:r>
                  <w:proofErr w:type="gram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 w:rsidR="00486BD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Fax</w:t>
                  </w:r>
                  <w:proofErr w:type="gram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:rsidR="009653BC" w:rsidRPr="009C15C8" w:rsidRDefault="009653BC" w:rsidP="0007087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en-US"/>
                    </w:rPr>
                  </w:pPr>
                  <w:proofErr w:type="gramStart"/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>e-mail</w:t>
                  </w:r>
                  <w:proofErr w:type="gramEnd"/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 xml:space="preserve">: </w:t>
                  </w:r>
                  <w:hyperlink r:id="rId9" w:history="1">
                    <w:r w:rsidRPr="00486BD1">
                      <w:rPr>
                        <w:rStyle w:val="Hyperlink"/>
                        <w:rFonts w:cs="Arial"/>
                        <w:color w:val="3366FF"/>
                        <w:sz w:val="20"/>
                        <w:szCs w:val="18"/>
                        <w:u w:val="single"/>
                        <w:lang w:val="en-US"/>
                      </w:rPr>
                      <w:t>contact@iala-aism.org</w:t>
                    </w:r>
                  </w:hyperlink>
                  <w:r w:rsidR="00486BD1">
                    <w:rPr>
                      <w:rStyle w:val="Hyperlink"/>
                      <w:rFonts w:cs="Arial"/>
                      <w:sz w:val="20"/>
                      <w:szCs w:val="18"/>
                      <w:lang w:val="en-US"/>
                    </w:rPr>
                    <w:t xml:space="preserve">    </w:t>
                  </w:r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 xml:space="preserve">Internet: </w:t>
                  </w:r>
                  <w:hyperlink r:id="rId10" w:history="1">
                    <w:r w:rsidRPr="00486BD1">
                      <w:rPr>
                        <w:rStyle w:val="Hyperlink"/>
                        <w:rFonts w:cs="Arial"/>
                        <w:color w:val="3366FF"/>
                        <w:sz w:val="20"/>
                        <w:szCs w:val="18"/>
                        <w:u w:val="single"/>
                        <w:lang w:val="en-US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1C2FB8">
        <w:rPr>
          <w:noProof/>
          <w:lang w:val="nl-NL" w:eastAsia="nl-NL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0" name="Picture 11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ALA logo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Text Box 111" o:spid="_x0000_s1029" type="#_x0000_t202" style="position:absolute;left:0;text-align:left;margin-left:84pt;margin-top:39.1pt;width:4in;height:291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<v:textbox style="mso-next-textbox:#Text Box 111">
              <w:txbxContent>
                <w:p w:rsidR="009653BC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IALA </w:t>
                  </w:r>
                  <w:r w:rsidR="000A016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Guideline</w:t>
                  </w:r>
                </w:p>
                <w:p w:rsidR="009653BC" w:rsidRPr="000A016B" w:rsidRDefault="000A016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proofErr w:type="gramStart"/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X</w:t>
                  </w:r>
                  <w:r w:rsidR="009653BC" w:rsidRPr="000A016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-???</w:t>
                  </w:r>
                  <w:proofErr w:type="gramEnd"/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B620A2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The marking of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drifting</w:t>
                  </w: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wreckage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 xml:space="preserve">Edition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1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Date Issued</w:t>
                  </w:r>
                </w:p>
                <w:p w:rsidR="009653BC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 w:rsidR="00460028" w:rsidRPr="00460028">
        <w:br w:type="page"/>
      </w:r>
      <w:bookmarkStart w:id="1" w:name="_Toc197439965"/>
      <w:r w:rsidR="00857962" w:rsidRPr="00993B7D">
        <w:lastRenderedPageBreak/>
        <w:t>Document Revisions</w:t>
      </w:r>
      <w:bookmarkEnd w:id="1"/>
    </w:p>
    <w:p w:rsidR="00857962" w:rsidRPr="00460028" w:rsidRDefault="00857962" w:rsidP="00857962">
      <w:pPr>
        <w:pStyle w:val="BodyText"/>
      </w:pPr>
      <w:r w:rsidRPr="00460028">
        <w:t>Revisions to the IALA Document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>
        <w:tc>
          <w:tcPr>
            <w:tcW w:w="1908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</w:tbl>
    <w:p w:rsidR="009E1230" w:rsidRPr="00460028" w:rsidRDefault="00857962" w:rsidP="000A016B">
      <w:pPr>
        <w:pStyle w:val="BlockText"/>
      </w:pPr>
      <w:r w:rsidRPr="00460028">
        <w:br w:type="page"/>
      </w:r>
    </w:p>
    <w:p w:rsidR="00460028" w:rsidRPr="00993B7D" w:rsidRDefault="00460028" w:rsidP="00993B7D">
      <w:pPr>
        <w:pStyle w:val="Title"/>
      </w:pPr>
      <w:bookmarkStart w:id="2" w:name="_Toc197439966"/>
      <w:r w:rsidRPr="00993B7D">
        <w:lastRenderedPageBreak/>
        <w:t>Table of Contents</w:t>
      </w:r>
      <w:bookmarkEnd w:id="2"/>
    </w:p>
    <w:p w:rsidR="00855820" w:rsidRPr="00437340" w:rsidRDefault="00A44D0E" w:rsidP="00437340">
      <w:pPr>
        <w:pStyle w:val="TOC1"/>
      </w:pPr>
      <w:r w:rsidRPr="00437340">
        <w:rPr>
          <w:b w:val="0"/>
        </w:rPr>
        <w:fldChar w:fldCharType="begin"/>
      </w:r>
      <w:r w:rsidR="006A2AB1" w:rsidRPr="00437340">
        <w:instrText xml:space="preserve"> TOC \o "3-3" \h \z \t "Heading 1,1,Heading 2,2,Title,1,Appendix,4" </w:instrText>
      </w:r>
      <w:r w:rsidRPr="00437340">
        <w:rPr>
          <w:b w:val="0"/>
        </w:rPr>
        <w:fldChar w:fldCharType="separate"/>
      </w:r>
      <w:r w:rsidR="00855820" w:rsidRPr="00437340">
        <w:t>Document Revisions</w:t>
      </w:r>
      <w:r w:rsidR="00855820" w:rsidRPr="00437340">
        <w:tab/>
      </w:r>
      <w:r w:rsidRPr="00437340">
        <w:fldChar w:fldCharType="begin"/>
      </w:r>
      <w:r w:rsidR="00855820" w:rsidRPr="00437340">
        <w:instrText xml:space="preserve"> PAGEREF _Toc197439965 \h </w:instrText>
      </w:r>
      <w:r w:rsidRPr="00437340">
        <w:fldChar w:fldCharType="separate"/>
      </w:r>
      <w:r w:rsidR="00855820" w:rsidRPr="00437340">
        <w:t>2</w:t>
      </w:r>
      <w:r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Table of Contents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_Toc197439966 \h </w:instrText>
      </w:r>
      <w:r w:rsidR="00A44D0E" w:rsidRPr="00437340">
        <w:fldChar w:fldCharType="separate"/>
      </w:r>
      <w:r w:rsidRPr="00437340">
        <w:t>4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1</w:t>
      </w:r>
      <w:r w:rsidRPr="00437340">
        <w:tab/>
        <w:t>Introduction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_Toc197439968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2</w:t>
      </w:r>
      <w:r w:rsidRPr="00437340">
        <w:tab/>
        <w:t>Assessing the risk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_Toc197439969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3</w:t>
      </w:r>
      <w:r w:rsidRPr="00437340">
        <w:tab/>
        <w:t>Marking floating wreckage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_Toc197439970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3.1</w:t>
      </w:r>
      <w:r w:rsidRPr="00437340">
        <w:rPr>
          <w:rFonts w:eastAsiaTheme="minorEastAsia"/>
        </w:rPr>
        <w:tab/>
      </w:r>
      <w:r w:rsidRPr="00437340">
        <w:t>Physical AtoN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_Toc197439971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3.2</w:t>
      </w:r>
      <w:r w:rsidRPr="00437340">
        <w:rPr>
          <w:rFonts w:eastAsiaTheme="minorEastAsia"/>
        </w:rPr>
        <w:tab/>
      </w:r>
      <w:r w:rsidRPr="00437340">
        <w:t>Virtual AIS AtoN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_Toc197439972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3.3</w:t>
      </w:r>
      <w:r w:rsidRPr="00437340">
        <w:rPr>
          <w:rFonts w:eastAsiaTheme="minorEastAsia"/>
        </w:rPr>
        <w:tab/>
      </w:r>
      <w:r w:rsidRPr="00437340">
        <w:t>Type of MBS mark to be used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_Toc197439973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4</w:t>
      </w:r>
      <w:r w:rsidRPr="00437340">
        <w:tab/>
        <w:t>Monitoring and reporting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_Toc197439974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4.1</w:t>
      </w:r>
      <w:r w:rsidRPr="00437340">
        <w:rPr>
          <w:rFonts w:eastAsiaTheme="minorEastAsia"/>
        </w:rPr>
        <w:tab/>
      </w:r>
      <w:r w:rsidRPr="00437340">
        <w:t>Monitoring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_Toc197439975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4.2</w:t>
      </w:r>
      <w:r w:rsidRPr="00437340">
        <w:rPr>
          <w:rFonts w:eastAsiaTheme="minorEastAsia"/>
        </w:rPr>
        <w:tab/>
      </w:r>
      <w:r w:rsidRPr="00437340">
        <w:t>Reporting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_Toc197439976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4.3</w:t>
      </w:r>
      <w:r w:rsidRPr="00437340">
        <w:rPr>
          <w:rFonts w:eastAsiaTheme="minorEastAsia"/>
        </w:rPr>
        <w:tab/>
      </w:r>
      <w:r w:rsidRPr="00437340">
        <w:t>Maritime Safety Information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_Toc197439977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5</w:t>
      </w:r>
      <w:r w:rsidRPr="00437340">
        <w:tab/>
        <w:t>Issues of responsibility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_Toc197439978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5.1</w:t>
      </w:r>
      <w:r w:rsidRPr="00437340">
        <w:rPr>
          <w:rFonts w:eastAsiaTheme="minorEastAsia"/>
        </w:rPr>
        <w:tab/>
      </w:r>
      <w:r w:rsidRPr="00437340">
        <w:t>Inability to monitor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_Toc197439979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5.2</w:t>
      </w:r>
      <w:r w:rsidRPr="00437340">
        <w:rPr>
          <w:rFonts w:eastAsiaTheme="minorEastAsia"/>
        </w:rPr>
        <w:tab/>
      </w:r>
      <w:r w:rsidRPr="00437340">
        <w:t>Marking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_Toc197439980 \h </w:instrText>
      </w:r>
      <w:r w:rsidR="00A44D0E" w:rsidRPr="00437340">
        <w:fldChar w:fldCharType="separate"/>
      </w:r>
      <w:r w:rsidRPr="00437340">
        <w:t>7</w:t>
      </w:r>
      <w:r w:rsidR="00A44D0E" w:rsidRPr="00437340">
        <w:fldChar w:fldCharType="end"/>
      </w:r>
    </w:p>
    <w:p w:rsidR="005207B2" w:rsidRDefault="00A44D0E" w:rsidP="002D4569">
      <w:pPr>
        <w:pStyle w:val="BodyText"/>
      </w:pPr>
      <w:r w:rsidRPr="00437340">
        <w:rPr>
          <w:rFonts w:eastAsiaTheme="minorEastAsia" w:cs="Arial"/>
          <w:b/>
          <w:noProof/>
          <w:szCs w:val="20"/>
        </w:rPr>
        <w:fldChar w:fldCharType="end"/>
      </w:r>
    </w:p>
    <w:p w:rsidR="00985597" w:rsidRPr="00993B7D" w:rsidRDefault="00460028" w:rsidP="00993B7D">
      <w:pPr>
        <w:pStyle w:val="Title"/>
      </w:pPr>
      <w:r>
        <w:br w:type="page"/>
      </w:r>
    </w:p>
    <w:p w:rsidR="009E1230" w:rsidRPr="00985597" w:rsidRDefault="00820397" w:rsidP="00486BD1">
      <w:pPr>
        <w:pStyle w:val="BlockText"/>
      </w:pPr>
      <w:r>
        <w:lastRenderedPageBreak/>
        <w:t xml:space="preserve">Considerations related to the marking of </w:t>
      </w:r>
      <w:r w:rsidR="00855820">
        <w:t>drif</w:t>
      </w:r>
      <w:r>
        <w:t>ting wreckage</w:t>
      </w:r>
    </w:p>
    <w:p w:rsidR="003C44EB" w:rsidRPr="00993B7D" w:rsidRDefault="003C44EB" w:rsidP="000A691D">
      <w:pPr>
        <w:pStyle w:val="Heading1"/>
      </w:pPr>
      <w:bookmarkStart w:id="3" w:name="_Toc216489705"/>
      <w:bookmarkStart w:id="4" w:name="_Toc197439968"/>
      <w:r w:rsidRPr="00993B7D">
        <w:t>Introduction</w:t>
      </w:r>
      <w:bookmarkEnd w:id="3"/>
      <w:bookmarkEnd w:id="4"/>
    </w:p>
    <w:p w:rsidR="003C44EB" w:rsidRDefault="0078526C" w:rsidP="000A691D">
      <w:pPr>
        <w:pStyle w:val="BodyText"/>
        <w:rPr>
          <w:lang w:eastAsia="de-DE"/>
        </w:rPr>
      </w:pPr>
      <w:r>
        <w:rPr>
          <w:lang w:eastAsia="de-DE"/>
        </w:rPr>
        <w:t>Following the outcome of the Nairobi International Con</w:t>
      </w:r>
      <w:r w:rsidR="00615BDF">
        <w:rPr>
          <w:lang w:eastAsia="de-DE"/>
        </w:rPr>
        <w:t>vention on the Removal of Wreck</w:t>
      </w:r>
      <w:r>
        <w:rPr>
          <w:lang w:eastAsia="de-DE"/>
        </w:rPr>
        <w:t>s</w:t>
      </w:r>
      <w:r w:rsidR="003A793B">
        <w:rPr>
          <w:lang w:eastAsia="de-DE"/>
        </w:rPr>
        <w:t>, 2007,</w:t>
      </w:r>
      <w:r w:rsidR="00486BD1">
        <w:rPr>
          <w:lang w:eastAsia="de-DE"/>
        </w:rPr>
        <w:t xml:space="preserve"> </w:t>
      </w:r>
      <w:r w:rsidR="00C704F3">
        <w:rPr>
          <w:lang w:eastAsia="de-DE"/>
        </w:rPr>
        <w:t>t</w:t>
      </w:r>
      <w:r w:rsidR="00B967AA">
        <w:rPr>
          <w:lang w:eastAsia="de-DE"/>
        </w:rPr>
        <w:t xml:space="preserve">he Council instructed </w:t>
      </w:r>
      <w:r w:rsidR="00615BDF">
        <w:rPr>
          <w:lang w:eastAsia="de-DE"/>
        </w:rPr>
        <w:t>th</w:t>
      </w:r>
      <w:r w:rsidR="00486BD1">
        <w:rPr>
          <w:lang w:eastAsia="de-DE"/>
        </w:rPr>
        <w:t>at IALA</w:t>
      </w:r>
      <w:r w:rsidR="00B967AA">
        <w:rPr>
          <w:lang w:eastAsia="de-DE"/>
        </w:rPr>
        <w:t xml:space="preserve"> </w:t>
      </w:r>
      <w:r w:rsidR="00EA5A55">
        <w:rPr>
          <w:lang w:eastAsia="de-DE"/>
        </w:rPr>
        <w:t xml:space="preserve">consider </w:t>
      </w:r>
      <w:r w:rsidR="00B8537D">
        <w:rPr>
          <w:lang w:eastAsia="de-DE"/>
        </w:rPr>
        <w:t>it</w:t>
      </w:r>
      <w:r w:rsidR="00972166">
        <w:rPr>
          <w:lang w:eastAsia="de-DE"/>
        </w:rPr>
        <w:t>s</w:t>
      </w:r>
      <w:r w:rsidR="00EA5A55">
        <w:rPr>
          <w:lang w:eastAsia="de-DE"/>
        </w:rPr>
        <w:t xml:space="preserve"> implications</w:t>
      </w:r>
      <w:r w:rsidR="004B3673">
        <w:rPr>
          <w:lang w:eastAsia="de-DE"/>
        </w:rPr>
        <w:t xml:space="preserve"> </w:t>
      </w:r>
      <w:r w:rsidR="00C704F3">
        <w:rPr>
          <w:lang w:eastAsia="de-DE"/>
        </w:rPr>
        <w:t xml:space="preserve">for AtoN authorities and states. </w:t>
      </w:r>
      <w:r w:rsidR="00615BDF">
        <w:rPr>
          <w:lang w:eastAsia="de-DE"/>
        </w:rPr>
        <w:t xml:space="preserve"> </w:t>
      </w:r>
      <w:r w:rsidR="00C704F3">
        <w:rPr>
          <w:lang w:eastAsia="de-DE"/>
        </w:rPr>
        <w:t xml:space="preserve">It also instructed </w:t>
      </w:r>
      <w:r w:rsidR="00486BD1">
        <w:rPr>
          <w:lang w:eastAsia="de-DE"/>
        </w:rPr>
        <w:t>IALA</w:t>
      </w:r>
      <w:r w:rsidR="00EA5A55">
        <w:rPr>
          <w:lang w:eastAsia="de-DE"/>
        </w:rPr>
        <w:t xml:space="preserve"> to </w:t>
      </w:r>
      <w:r w:rsidR="00486BD1">
        <w:rPr>
          <w:lang w:eastAsia="de-DE"/>
        </w:rPr>
        <w:t>develop a R</w:t>
      </w:r>
      <w:r w:rsidR="00B967AA">
        <w:rPr>
          <w:lang w:eastAsia="de-DE"/>
        </w:rPr>
        <w:t>ecommendation</w:t>
      </w:r>
      <w:r w:rsidR="00EA5A55">
        <w:rPr>
          <w:lang w:eastAsia="de-DE"/>
        </w:rPr>
        <w:t xml:space="preserve"> for </w:t>
      </w:r>
      <w:r w:rsidR="00486BD1">
        <w:rPr>
          <w:lang w:eastAsia="de-DE"/>
        </w:rPr>
        <w:t>its</w:t>
      </w:r>
      <w:r w:rsidR="00EA5A55">
        <w:rPr>
          <w:lang w:eastAsia="de-DE"/>
        </w:rPr>
        <w:t xml:space="preserve"> members, including guidance,</w:t>
      </w:r>
      <w:r w:rsidR="00B967AA">
        <w:rPr>
          <w:lang w:eastAsia="de-DE"/>
        </w:rPr>
        <w:t xml:space="preserve"> on the marking of </w:t>
      </w:r>
      <w:r w:rsidR="00A248D8">
        <w:rPr>
          <w:lang w:eastAsia="de-DE"/>
        </w:rPr>
        <w:t>drift</w:t>
      </w:r>
      <w:r w:rsidR="00B967AA">
        <w:rPr>
          <w:lang w:eastAsia="de-DE"/>
        </w:rPr>
        <w:t>ing wreckage</w:t>
      </w:r>
      <w:r w:rsidR="00EA5A55">
        <w:rPr>
          <w:lang w:eastAsia="de-DE"/>
        </w:rPr>
        <w:t>, taking into account existing IALA guidance.</w:t>
      </w:r>
    </w:p>
    <w:p w:rsidR="003C44EB" w:rsidRPr="00993B7D" w:rsidRDefault="00EA5A55" w:rsidP="00993B7D">
      <w:pPr>
        <w:pStyle w:val="Heading1"/>
      </w:pPr>
      <w:bookmarkStart w:id="5" w:name="_Toc197439969"/>
      <w:r w:rsidRPr="00993B7D">
        <w:t>Assess</w:t>
      </w:r>
      <w:r w:rsidR="00B5774F" w:rsidRPr="00993B7D">
        <w:t>ing</w:t>
      </w:r>
      <w:r w:rsidRPr="00993B7D">
        <w:t xml:space="preserve"> the risk</w:t>
      </w:r>
      <w:bookmarkEnd w:id="5"/>
    </w:p>
    <w:p w:rsidR="00EA5A55" w:rsidRDefault="00EE394A" w:rsidP="000A691D">
      <w:pPr>
        <w:pStyle w:val="BodyText"/>
        <w:rPr>
          <w:lang w:eastAsia="de-DE"/>
        </w:rPr>
      </w:pPr>
      <w:r>
        <w:rPr>
          <w:lang w:eastAsia="de-DE"/>
        </w:rPr>
        <w:t>A c</w:t>
      </w:r>
      <w:r w:rsidR="00EA5A55">
        <w:rPr>
          <w:lang w:eastAsia="de-DE"/>
        </w:rPr>
        <w:t xml:space="preserve">oastal </w:t>
      </w:r>
      <w:r>
        <w:rPr>
          <w:lang w:eastAsia="de-DE"/>
        </w:rPr>
        <w:t>state authority</w:t>
      </w:r>
      <w:r w:rsidR="00EA5A55">
        <w:rPr>
          <w:lang w:eastAsia="de-DE"/>
        </w:rPr>
        <w:t xml:space="preserve"> assess</w:t>
      </w:r>
      <w:r>
        <w:rPr>
          <w:lang w:eastAsia="de-DE"/>
        </w:rPr>
        <w:t>ing</w:t>
      </w:r>
      <w:r w:rsidR="004B3673">
        <w:rPr>
          <w:lang w:eastAsia="de-DE"/>
        </w:rPr>
        <w:t xml:space="preserve"> </w:t>
      </w:r>
      <w:r>
        <w:rPr>
          <w:lang w:eastAsia="de-DE"/>
        </w:rPr>
        <w:t>the potential hazard to safe navigation</w:t>
      </w:r>
      <w:r w:rsidR="007F71BF">
        <w:rPr>
          <w:lang w:eastAsia="de-DE"/>
        </w:rPr>
        <w:t>,</w:t>
      </w:r>
      <w:r>
        <w:rPr>
          <w:lang w:eastAsia="de-DE"/>
        </w:rPr>
        <w:t xml:space="preserve"> posed by</w:t>
      </w:r>
      <w:r w:rsidR="00EA5A55">
        <w:rPr>
          <w:lang w:eastAsia="de-DE"/>
        </w:rPr>
        <w:t xml:space="preserve"> floating wreckage, </w:t>
      </w:r>
      <w:r w:rsidR="001948EF">
        <w:rPr>
          <w:lang w:eastAsia="de-DE"/>
        </w:rPr>
        <w:t>will report it through the appropriate channels</w:t>
      </w:r>
      <w:r w:rsidR="007F71BF">
        <w:rPr>
          <w:lang w:eastAsia="de-DE"/>
        </w:rPr>
        <w:t xml:space="preserve">. </w:t>
      </w:r>
      <w:r w:rsidR="00B8537D">
        <w:rPr>
          <w:lang w:eastAsia="de-DE"/>
        </w:rPr>
        <w:t xml:space="preserve"> </w:t>
      </w:r>
      <w:r w:rsidR="007F71BF">
        <w:rPr>
          <w:lang w:eastAsia="de-DE"/>
        </w:rPr>
        <w:t xml:space="preserve">Consideration should </w:t>
      </w:r>
      <w:r>
        <w:rPr>
          <w:lang w:eastAsia="de-DE"/>
        </w:rPr>
        <w:t xml:space="preserve">also </w:t>
      </w:r>
      <w:r w:rsidR="007F71BF">
        <w:rPr>
          <w:lang w:eastAsia="de-DE"/>
        </w:rPr>
        <w:t>be given to</w:t>
      </w:r>
      <w:r>
        <w:rPr>
          <w:lang w:eastAsia="de-DE"/>
        </w:rPr>
        <w:t xml:space="preserve"> the </w:t>
      </w:r>
      <w:r w:rsidR="00EA5A55">
        <w:rPr>
          <w:lang w:eastAsia="de-DE"/>
        </w:rPr>
        <w:t>require</w:t>
      </w:r>
      <w:r>
        <w:rPr>
          <w:lang w:eastAsia="de-DE"/>
        </w:rPr>
        <w:t xml:space="preserve">ment to </w:t>
      </w:r>
      <w:r w:rsidR="00EA5A55">
        <w:rPr>
          <w:lang w:eastAsia="de-DE"/>
        </w:rPr>
        <w:t>mark</w:t>
      </w:r>
      <w:r>
        <w:rPr>
          <w:lang w:eastAsia="de-DE"/>
        </w:rPr>
        <w:t xml:space="preserve"> it</w:t>
      </w:r>
      <w:r w:rsidR="007253E2">
        <w:rPr>
          <w:lang w:eastAsia="de-DE"/>
        </w:rPr>
        <w:t xml:space="preserve">. </w:t>
      </w:r>
      <w:r w:rsidR="00615BDF">
        <w:rPr>
          <w:lang w:eastAsia="de-DE"/>
        </w:rPr>
        <w:t xml:space="preserve"> </w:t>
      </w:r>
      <w:r w:rsidR="007253E2">
        <w:rPr>
          <w:lang w:eastAsia="de-DE"/>
        </w:rPr>
        <w:t>Special consideration should be given to the reporting and marking of those hazards that are drifting.</w:t>
      </w:r>
    </w:p>
    <w:p w:rsidR="003C44EB" w:rsidRPr="00993B7D" w:rsidRDefault="006A2AB1" w:rsidP="00993B7D">
      <w:pPr>
        <w:pStyle w:val="Heading1"/>
      </w:pPr>
      <w:bookmarkStart w:id="6" w:name="_Toc197439970"/>
      <w:r>
        <w:t>M</w:t>
      </w:r>
      <w:r w:rsidR="00EE394A" w:rsidRPr="00993B7D">
        <w:t>ark</w:t>
      </w:r>
      <w:r w:rsidR="00B5774F" w:rsidRPr="00993B7D">
        <w:t>ing</w:t>
      </w:r>
      <w:r w:rsidR="00EE394A" w:rsidRPr="00993B7D">
        <w:t xml:space="preserve"> </w:t>
      </w:r>
      <w:r w:rsidR="00A248D8">
        <w:t>DRIF</w:t>
      </w:r>
      <w:r w:rsidR="00EE394A" w:rsidRPr="00993B7D">
        <w:t>ting wreckage</w:t>
      </w:r>
      <w:bookmarkEnd w:id="6"/>
    </w:p>
    <w:p w:rsidR="00A248D8" w:rsidRDefault="00B5774F" w:rsidP="00A248D8">
      <w:pPr>
        <w:pStyle w:val="BodyText"/>
      </w:pPr>
      <w:r>
        <w:t xml:space="preserve">There are several possible methods that could be used to mark </w:t>
      </w:r>
      <w:r w:rsidR="00A248D8">
        <w:t>drif</w:t>
      </w:r>
      <w:r>
        <w:t>ting wreckage</w:t>
      </w:r>
      <w:r w:rsidR="0082756A">
        <w:t xml:space="preserve">, depending on the type of wreckage and the area </w:t>
      </w:r>
      <w:r w:rsidR="00020070">
        <w:t>involved</w:t>
      </w:r>
      <w:r w:rsidR="00A248D8">
        <w:t>, and National Authorities should address identify the best solution in a case by case scenario</w:t>
      </w:r>
      <w:r>
        <w:t>.</w:t>
      </w:r>
      <w:r w:rsidR="007F71BF">
        <w:t xml:space="preserve"> </w:t>
      </w:r>
      <w:r w:rsidR="00B8537D">
        <w:t xml:space="preserve"> </w:t>
      </w:r>
      <w:bookmarkStart w:id="7" w:name="_Toc306710222"/>
      <w:bookmarkStart w:id="8" w:name="_Toc306710369"/>
      <w:bookmarkStart w:id="9" w:name="_Toc197439971"/>
    </w:p>
    <w:p w:rsidR="003C44EB" w:rsidRPr="00993B7D" w:rsidRDefault="00F700DA" w:rsidP="00993B7D">
      <w:pPr>
        <w:pStyle w:val="Heading1"/>
      </w:pPr>
      <w:bookmarkStart w:id="10" w:name="_Toc216489709"/>
      <w:bookmarkStart w:id="11" w:name="_Toc197439974"/>
      <w:bookmarkEnd w:id="7"/>
      <w:bookmarkEnd w:id="8"/>
      <w:bookmarkEnd w:id="9"/>
      <w:r w:rsidRPr="00993B7D">
        <w:t>Monitoring and reporting</w:t>
      </w:r>
      <w:bookmarkEnd w:id="10"/>
      <w:bookmarkEnd w:id="11"/>
    </w:p>
    <w:p w:rsidR="003C44EB" w:rsidRPr="00371BEF" w:rsidRDefault="005C3FF4" w:rsidP="000A691D">
      <w:pPr>
        <w:pStyle w:val="BodyText"/>
        <w:rPr>
          <w:lang w:eastAsia="de-DE"/>
        </w:rPr>
      </w:pPr>
      <w:r>
        <w:rPr>
          <w:lang w:eastAsia="de-DE"/>
        </w:rPr>
        <w:t xml:space="preserve">Coastal state authorities </w:t>
      </w:r>
      <w:r w:rsidR="006C1086">
        <w:t xml:space="preserve">need to </w:t>
      </w:r>
      <w:r w:rsidR="00855820">
        <w:t>take</w:t>
      </w:r>
      <w:r w:rsidR="006C1086">
        <w:t xml:space="preserve"> special care with position monitoring and position integrity, as it pertains to drifting hazards and obstructions, especially when marking them with a virtual AtoN.</w:t>
      </w:r>
    </w:p>
    <w:p w:rsidR="003C44EB" w:rsidRPr="00993B7D" w:rsidRDefault="006B3013" w:rsidP="000A691D">
      <w:pPr>
        <w:pStyle w:val="Heading2"/>
      </w:pPr>
      <w:bookmarkStart w:id="12" w:name="_Toc306710224"/>
      <w:bookmarkStart w:id="13" w:name="_Toc306710371"/>
      <w:bookmarkStart w:id="14" w:name="_Toc197439975"/>
      <w:r w:rsidRPr="00993B7D">
        <w:t>Monitoring</w:t>
      </w:r>
      <w:bookmarkEnd w:id="12"/>
      <w:bookmarkEnd w:id="13"/>
      <w:bookmarkEnd w:id="14"/>
    </w:p>
    <w:p w:rsidR="005C3FF4" w:rsidRDefault="005C3FF4" w:rsidP="003C44EB">
      <w:pPr>
        <w:pStyle w:val="BodyText"/>
        <w:rPr>
          <w:lang w:eastAsia="de-DE"/>
        </w:rPr>
      </w:pPr>
      <w:r>
        <w:rPr>
          <w:lang w:eastAsia="de-DE"/>
        </w:rPr>
        <w:t>The AtoN c</w:t>
      </w:r>
      <w:r w:rsidR="00585460">
        <w:rPr>
          <w:lang w:eastAsia="de-DE"/>
        </w:rPr>
        <w:t>ould be monitored</w:t>
      </w:r>
      <w:r w:rsidR="00717544">
        <w:rPr>
          <w:lang w:eastAsia="de-DE"/>
        </w:rPr>
        <w:t xml:space="preserve"> by</w:t>
      </w:r>
      <w:r>
        <w:rPr>
          <w:lang w:eastAsia="de-DE"/>
        </w:rPr>
        <w:t>:</w:t>
      </w:r>
    </w:p>
    <w:p w:rsidR="005C3FF4" w:rsidRDefault="00755EFC" w:rsidP="000A691D">
      <w:pPr>
        <w:pStyle w:val="Bullet1"/>
      </w:pPr>
      <w:r>
        <w:t>t</w:t>
      </w:r>
      <w:r w:rsidR="00717544">
        <w:t>he Coastal S</w:t>
      </w:r>
      <w:r w:rsidR="005C3FF4">
        <w:t xml:space="preserve">tate </w:t>
      </w:r>
      <w:r w:rsidR="00717544">
        <w:t>within its VHF</w:t>
      </w:r>
      <w:r w:rsidR="005C3FF4">
        <w:t xml:space="preserve"> coverage</w:t>
      </w:r>
      <w:r w:rsidR="0074389E">
        <w:t xml:space="preserve"> (</w:t>
      </w:r>
      <w:r w:rsidR="00AE4F81">
        <w:t>especially</w:t>
      </w:r>
      <w:r w:rsidR="0074389E">
        <w:t xml:space="preserve"> if using AIS)</w:t>
      </w:r>
      <w:r w:rsidR="005C3FF4">
        <w:t>;</w:t>
      </w:r>
    </w:p>
    <w:p w:rsidR="003C44EB" w:rsidRDefault="009653BC" w:rsidP="000A691D">
      <w:pPr>
        <w:pStyle w:val="Bullet1"/>
      </w:pPr>
      <w:proofErr w:type="gramStart"/>
      <w:r>
        <w:t>assets</w:t>
      </w:r>
      <w:proofErr w:type="gramEnd"/>
      <w:r w:rsidR="00585460">
        <w:t xml:space="preserve"> in the vicinity of the AtoN</w:t>
      </w:r>
      <w:r>
        <w:t>,</w:t>
      </w:r>
      <w:r w:rsidR="00585460">
        <w:t xml:space="preserve"> </w:t>
      </w:r>
      <w:r w:rsidR="000A691D">
        <w:t>especially when AtoN</w:t>
      </w:r>
      <w:r w:rsidR="009C15C8">
        <w:t xml:space="preserve"> </w:t>
      </w:r>
      <w:r w:rsidR="00717544">
        <w:t>are AIS capable</w:t>
      </w:r>
      <w:r w:rsidR="008B37C1">
        <w:t>, th</w:t>
      </w:r>
      <w:r w:rsidR="00717544">
        <w:t>ereby</w:t>
      </w:r>
      <w:r w:rsidR="008B37C1">
        <w:t xml:space="preserve"> increasing the range at wh</w:t>
      </w:r>
      <w:r w:rsidR="00717544">
        <w:t>ich the C</w:t>
      </w:r>
      <w:r w:rsidR="008B37C1">
        <w:t>o</w:t>
      </w:r>
      <w:r w:rsidR="00717544">
        <w:t>a</w:t>
      </w:r>
      <w:r w:rsidR="008B37C1">
        <w:t xml:space="preserve">stal </w:t>
      </w:r>
      <w:r w:rsidR="00717544">
        <w:t>S</w:t>
      </w:r>
      <w:r w:rsidR="008B37C1">
        <w:t xml:space="preserve">tate is able to </w:t>
      </w:r>
      <w:r w:rsidR="00717544">
        <w:t>meet</w:t>
      </w:r>
      <w:r w:rsidR="009C15C8">
        <w:t xml:space="preserve"> </w:t>
      </w:r>
      <w:r w:rsidR="008B37C1">
        <w:t>its responsibilities.</w:t>
      </w:r>
    </w:p>
    <w:p w:rsidR="00F50B1C" w:rsidRPr="00F50B1C" w:rsidRDefault="006B3013" w:rsidP="000A691D">
      <w:pPr>
        <w:pStyle w:val="Heading2"/>
      </w:pPr>
      <w:bookmarkStart w:id="15" w:name="_Toc306710225"/>
      <w:bookmarkStart w:id="16" w:name="_Toc306710372"/>
      <w:bookmarkStart w:id="17" w:name="_Toc197439976"/>
      <w:r w:rsidRPr="00993B7D">
        <w:t>Reporting</w:t>
      </w:r>
      <w:bookmarkEnd w:id="15"/>
      <w:bookmarkEnd w:id="16"/>
      <w:bookmarkEnd w:id="17"/>
    </w:p>
    <w:p w:rsidR="00717544" w:rsidRDefault="00717544" w:rsidP="00717544">
      <w:pPr>
        <w:pStyle w:val="BodyText"/>
        <w:rPr>
          <w:lang w:eastAsia="de-DE"/>
        </w:rPr>
      </w:pPr>
      <w:r>
        <w:rPr>
          <w:lang w:eastAsia="de-DE"/>
        </w:rPr>
        <w:t>The AtoN should be reported when</w:t>
      </w:r>
      <w:r w:rsidR="00B1058C">
        <w:rPr>
          <w:lang w:eastAsia="de-DE"/>
        </w:rPr>
        <w:t xml:space="preserve"> it</w:t>
      </w:r>
      <w:r>
        <w:rPr>
          <w:lang w:eastAsia="de-DE"/>
        </w:rPr>
        <w:t>:</w:t>
      </w:r>
    </w:p>
    <w:p w:rsidR="003C44EB" w:rsidRPr="00371BEF" w:rsidRDefault="00B8537D" w:rsidP="000A691D">
      <w:pPr>
        <w:pStyle w:val="Bullet1"/>
      </w:pPr>
      <w:r>
        <w:t>i</w:t>
      </w:r>
      <w:r w:rsidR="00585460">
        <w:t>s deployed</w:t>
      </w:r>
      <w:r w:rsidR="00717544">
        <w:t>;</w:t>
      </w:r>
    </w:p>
    <w:p w:rsidR="00717544" w:rsidRDefault="00B8537D" w:rsidP="000A691D">
      <w:pPr>
        <w:pStyle w:val="Bullet1"/>
      </w:pPr>
      <w:bookmarkStart w:id="18" w:name="_Toc306710226"/>
      <w:r>
        <w:t>l</w:t>
      </w:r>
      <w:r w:rsidR="00B1058C" w:rsidRPr="00993B7D">
        <w:t xml:space="preserve">eaves </w:t>
      </w:r>
      <w:r>
        <w:t xml:space="preserve">a </w:t>
      </w:r>
      <w:r w:rsidR="00B1058C" w:rsidRPr="00993B7D">
        <w:t>Coastal State</w:t>
      </w:r>
      <w:r>
        <w:t>’</w:t>
      </w:r>
      <w:r w:rsidR="00B1058C" w:rsidRPr="00993B7D">
        <w:t>s</w:t>
      </w:r>
      <w:r w:rsidR="00B1058C">
        <w:t xml:space="preserve"> coverage or drifts into the waters of an adjacent Coastal State</w:t>
      </w:r>
      <w:bookmarkEnd w:id="18"/>
      <w:r w:rsidR="009653BC">
        <w:t>;</w:t>
      </w:r>
    </w:p>
    <w:p w:rsidR="009653BC" w:rsidRDefault="009653BC" w:rsidP="000A691D">
      <w:pPr>
        <w:pStyle w:val="Bullet1"/>
      </w:pPr>
      <w:r>
        <w:t>is considered by the Coastal State that positional information requires updating;</w:t>
      </w:r>
    </w:p>
    <w:p w:rsidR="009653BC" w:rsidRDefault="009653BC" w:rsidP="000A691D">
      <w:pPr>
        <w:pStyle w:val="Bullet1"/>
      </w:pPr>
      <w:proofErr w:type="gramStart"/>
      <w:r>
        <w:t>is</w:t>
      </w:r>
      <w:proofErr w:type="gramEnd"/>
      <w:r>
        <w:t xml:space="preserve"> removed / discontinued.</w:t>
      </w:r>
    </w:p>
    <w:p w:rsidR="00F50B1C" w:rsidRDefault="00F50B1C" w:rsidP="000A691D">
      <w:pPr>
        <w:pStyle w:val="Heading2"/>
      </w:pPr>
      <w:bookmarkStart w:id="19" w:name="_Toc197439977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19"/>
    </w:p>
    <w:p w:rsidR="00F50B1C" w:rsidRPr="00F50B1C" w:rsidRDefault="009832CD" w:rsidP="000A691D">
      <w:pPr>
        <w:pStyle w:val="BodyText"/>
      </w:pPr>
      <w:r>
        <w:t>The broadcast of Maritime Safety I</w:t>
      </w:r>
      <w:r w:rsidR="009653BC">
        <w:t xml:space="preserve">nformation is </w:t>
      </w:r>
      <w:r w:rsidR="00A248D8">
        <w:t xml:space="preserve">fundamental </w:t>
      </w:r>
      <w:r w:rsidR="009653BC">
        <w:t>and is no</w:t>
      </w:r>
      <w:r>
        <w:t>t superseded by</w:t>
      </w:r>
      <w:r w:rsidR="009C15C8">
        <w:t xml:space="preserve"> </w:t>
      </w:r>
      <w:r>
        <w:t xml:space="preserve">the </w:t>
      </w:r>
      <w:r w:rsidR="00F50B1C">
        <w:t xml:space="preserve">marking of </w:t>
      </w:r>
      <w:r>
        <w:t xml:space="preserve">the </w:t>
      </w:r>
      <w:r w:rsidR="00A248D8">
        <w:t>drif</w:t>
      </w:r>
      <w:r w:rsidR="00F50B1C">
        <w:t>ting wrecks</w:t>
      </w:r>
      <w:r>
        <w:t>.</w:t>
      </w:r>
    </w:p>
    <w:p w:rsidR="00F50B1C" w:rsidRDefault="006A2AB1" w:rsidP="00F50B1C">
      <w:pPr>
        <w:pStyle w:val="Heading1"/>
      </w:pPr>
      <w:bookmarkStart w:id="20" w:name="_Toc216489712"/>
      <w:bookmarkStart w:id="21" w:name="_Toc197439978"/>
      <w:r>
        <w:lastRenderedPageBreak/>
        <w:t>Issues</w:t>
      </w:r>
      <w:bookmarkEnd w:id="20"/>
      <w:r>
        <w:t xml:space="preserve"> of responsibility</w:t>
      </w:r>
      <w:bookmarkEnd w:id="21"/>
    </w:p>
    <w:p w:rsidR="00855820" w:rsidRPr="00855820" w:rsidRDefault="00855820" w:rsidP="00855820">
      <w:pPr>
        <w:pStyle w:val="Heading2"/>
      </w:pPr>
      <w:bookmarkStart w:id="22" w:name="_Toc197439979"/>
      <w:r>
        <w:t>Inability to monitor</w:t>
      </w:r>
      <w:bookmarkEnd w:id="22"/>
    </w:p>
    <w:p w:rsidR="002752C2" w:rsidRDefault="002752C2" w:rsidP="00855820">
      <w:pPr>
        <w:pStyle w:val="BodyText"/>
      </w:pPr>
      <w:r>
        <w:t xml:space="preserve">A </w:t>
      </w:r>
      <w:r w:rsidR="009107A0">
        <w:t>C</w:t>
      </w:r>
      <w:r>
        <w:t>oast</w:t>
      </w:r>
      <w:r w:rsidR="009107A0">
        <w:t>al S</w:t>
      </w:r>
      <w:r>
        <w:t>tate losing th</w:t>
      </w:r>
      <w:r w:rsidR="009653BC">
        <w:t xml:space="preserve">e ability to monitor the </w:t>
      </w:r>
      <w:r>
        <w:t xml:space="preserve">AtoN that it has deployed, nonetheless retains responsibility until </w:t>
      </w:r>
      <w:r w:rsidR="00B1058C">
        <w:t>either</w:t>
      </w:r>
      <w:r>
        <w:t>:</w:t>
      </w:r>
    </w:p>
    <w:p w:rsidR="002752C2" w:rsidRPr="000A691D" w:rsidRDefault="00755EFC" w:rsidP="00855820">
      <w:pPr>
        <w:pStyle w:val="Bullet1"/>
      </w:pPr>
      <w:r>
        <w:t xml:space="preserve">The AtoN </w:t>
      </w:r>
      <w:r w:rsidR="00B1058C" w:rsidRPr="000A691D">
        <w:t xml:space="preserve">is </w:t>
      </w:r>
      <w:r w:rsidR="002752C2" w:rsidRPr="000A691D">
        <w:t>retrieve</w:t>
      </w:r>
      <w:r w:rsidR="00B1058C" w:rsidRPr="000A691D">
        <w:t xml:space="preserve">d or sinks with the </w:t>
      </w:r>
      <w:r w:rsidR="00A248D8">
        <w:t>drif</w:t>
      </w:r>
      <w:r w:rsidR="00B1058C" w:rsidRPr="000A691D">
        <w:t>ting wreckage</w:t>
      </w:r>
      <w:r w:rsidR="002752C2" w:rsidRPr="000A691D">
        <w:t xml:space="preserve">; </w:t>
      </w:r>
      <w:r w:rsidR="00855820">
        <w:t xml:space="preserve"> or</w:t>
      </w:r>
    </w:p>
    <w:p w:rsidR="003C44EB" w:rsidRPr="000A691D" w:rsidRDefault="009107A0" w:rsidP="00855820">
      <w:pPr>
        <w:pStyle w:val="Bullet1"/>
      </w:pPr>
      <w:r w:rsidRPr="000A691D">
        <w:t>The</w:t>
      </w:r>
      <w:r w:rsidR="002752C2" w:rsidRPr="000A691D">
        <w:t xml:space="preserve"> responsibility </w:t>
      </w:r>
      <w:r w:rsidRPr="000A691D">
        <w:t xml:space="preserve">is assumed </w:t>
      </w:r>
      <w:r w:rsidR="002752C2" w:rsidRPr="000A691D">
        <w:t xml:space="preserve">by another </w:t>
      </w:r>
      <w:r w:rsidRPr="000A691D">
        <w:t>Coastal S</w:t>
      </w:r>
      <w:r w:rsidR="002752C2" w:rsidRPr="000A691D">
        <w:t>tate</w:t>
      </w:r>
      <w:r w:rsidR="004929F9" w:rsidRPr="000A691D">
        <w:t>.</w:t>
      </w:r>
    </w:p>
    <w:p w:rsidR="00855820" w:rsidRDefault="00855820" w:rsidP="00855820">
      <w:pPr>
        <w:pStyle w:val="Heading2"/>
      </w:pPr>
      <w:bookmarkStart w:id="23" w:name="_Toc197439980"/>
      <w:r>
        <w:t>Marking</w:t>
      </w:r>
      <w:bookmarkEnd w:id="23"/>
    </w:p>
    <w:p w:rsidR="003A793B" w:rsidRPr="009653BC" w:rsidRDefault="00945D42" w:rsidP="00855820">
      <w:pPr>
        <w:pStyle w:val="BodyText"/>
        <w:rPr>
          <w:rFonts w:eastAsia="Times New Roman" w:cs="Times New Roman"/>
          <w:lang w:val="en-US"/>
        </w:rPr>
      </w:pPr>
      <w:r w:rsidRPr="009653BC">
        <w:t>In accordance with article 10 of the Wreck Removal Convention</w:t>
      </w:r>
      <w:r w:rsidR="003A793B" w:rsidRPr="009653BC">
        <w:t xml:space="preserve"> (</w:t>
      </w:r>
      <w:r w:rsidR="00B8537D" w:rsidRPr="009653BC">
        <w:t xml:space="preserve">IMO document </w:t>
      </w:r>
      <w:r w:rsidR="00B8537D" w:rsidRPr="009653BC">
        <w:rPr>
          <w:rFonts w:eastAsia="Times New Roman" w:cs="Times New Roman"/>
          <w:lang w:val="en-US"/>
        </w:rPr>
        <w:t>LEG/CONF.16/19 dated 23 May 2007</w:t>
      </w:r>
      <w:r w:rsidR="003A793B" w:rsidRPr="009653BC">
        <w:t>)</w:t>
      </w:r>
      <w:r w:rsidRPr="009653BC">
        <w:t xml:space="preserve">, the registered owner of the ship </w:t>
      </w:r>
      <w:r w:rsidR="004852F8" w:rsidRPr="009653BC">
        <w:t>responsible for the wreck shall be liable for the costs of marking it.</w:t>
      </w:r>
    </w:p>
    <w:sectPr w:rsidR="003A793B" w:rsidRPr="009653BC" w:rsidSect="00AB2FA0">
      <w:headerReference w:type="default" r:id="rId12"/>
      <w:footerReference w:type="default" r:id="rId13"/>
      <w:headerReference w:type="first" r:id="rId14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CEC" w:rsidRDefault="00156CEC" w:rsidP="009E1230">
      <w:r>
        <w:separator/>
      </w:r>
    </w:p>
  </w:endnote>
  <w:endnote w:type="continuationSeparator" w:id="0">
    <w:p w:rsidR="00156CEC" w:rsidRDefault="00156CEC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BC" w:rsidRPr="008136BC" w:rsidRDefault="009653BC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A44D0E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A44D0E" w:rsidRPr="008136BC">
      <w:rPr>
        <w:lang w:val="en-US"/>
      </w:rPr>
      <w:fldChar w:fldCharType="separate"/>
    </w:r>
    <w:r w:rsidR="00FC18AA">
      <w:rPr>
        <w:noProof/>
        <w:lang w:val="en-US"/>
      </w:rPr>
      <w:t>5</w:t>
    </w:r>
    <w:r w:rsidR="00A44D0E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A44D0E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A44D0E" w:rsidRPr="008136BC">
      <w:rPr>
        <w:lang w:val="en-US"/>
      </w:rPr>
      <w:fldChar w:fldCharType="separate"/>
    </w:r>
    <w:r w:rsidR="00FC18AA">
      <w:rPr>
        <w:noProof/>
        <w:lang w:val="en-US"/>
      </w:rPr>
      <w:t>5</w:t>
    </w:r>
    <w:r w:rsidR="00A44D0E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CEC" w:rsidRDefault="00156CEC" w:rsidP="009E1230">
      <w:r>
        <w:separator/>
      </w:r>
    </w:p>
  </w:footnote>
  <w:footnote w:type="continuationSeparator" w:id="0">
    <w:p w:rsidR="00156CEC" w:rsidRDefault="00156CEC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BC" w:rsidRDefault="000A016B" w:rsidP="0004410E">
    <w:pPr>
      <w:pStyle w:val="Header"/>
      <w:jc w:val="center"/>
      <w:rPr>
        <w:highlight w:val="yellow"/>
      </w:rPr>
    </w:pPr>
    <w:r>
      <w:t>Guideline</w:t>
    </w:r>
    <w:r w:rsidR="009653BC">
      <w:t xml:space="preserve"> </w:t>
    </w:r>
    <w:r w:rsidRPr="000A016B">
      <w:rPr>
        <w:highlight w:val="yellow"/>
      </w:rPr>
      <w:t>X</w:t>
    </w:r>
    <w:r w:rsidR="009653BC" w:rsidRPr="000A016B">
      <w:rPr>
        <w:highlight w:val="yellow"/>
      </w:rPr>
      <w:t>-</w:t>
    </w:r>
    <w:r w:rsidR="009653BC">
      <w:rPr>
        <w:highlight w:val="yellow"/>
      </w:rPr>
      <w:t>###</w:t>
    </w:r>
    <w:r w:rsidR="00486BD1">
      <w:t xml:space="preserve"> </w:t>
    </w:r>
    <w:r w:rsidR="009653BC" w:rsidRPr="004B629C">
      <w:rPr>
        <w:sz w:val="20"/>
        <w:szCs w:val="20"/>
      </w:rPr>
      <w:t>on the</w:t>
    </w:r>
    <w:r w:rsidR="009653BC" w:rsidRPr="004B629C">
      <w:rPr>
        <w:rFonts w:cs="Arial"/>
        <w:bCs/>
        <w:color w:val="000000"/>
        <w:sz w:val="20"/>
        <w:szCs w:val="20"/>
      </w:rPr>
      <w:t xml:space="preserve"> m</w:t>
    </w:r>
    <w:r w:rsidR="009653BC" w:rsidRPr="00A63292">
      <w:rPr>
        <w:rFonts w:cs="Arial"/>
        <w:bCs/>
        <w:color w:val="000000"/>
        <w:sz w:val="20"/>
        <w:szCs w:val="20"/>
      </w:rPr>
      <w:t>arking of floating wreckage</w:t>
    </w:r>
  </w:p>
  <w:p w:rsidR="009653BC" w:rsidRDefault="009653BC" w:rsidP="008136BC">
    <w:pPr>
      <w:pBdr>
        <w:bottom w:val="single" w:sz="4" w:space="1" w:color="auto"/>
      </w:pBdr>
      <w:jc w:val="center"/>
    </w:pPr>
    <w:r w:rsidRPr="00B8537D">
      <w:rPr>
        <w:rFonts w:cs="Arial"/>
        <w:sz w:val="20"/>
        <w:highlight w:val="yellow"/>
      </w:rPr>
      <w:t>June 2012</w:t>
    </w:r>
  </w:p>
  <w:p w:rsidR="009653BC" w:rsidRDefault="009653BC" w:rsidP="00AB2F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BC" w:rsidRPr="00686A29" w:rsidRDefault="00FC18AA" w:rsidP="00686A29">
    <w:pPr>
      <w:pStyle w:val="Header"/>
      <w:jc w:val="right"/>
      <w:rPr>
        <w:lang w:val="en-US"/>
      </w:rPr>
    </w:pPr>
    <w:r>
      <w:rPr>
        <w:lang w:val="en-US"/>
      </w:rPr>
      <w:t>ARM2-11.2.3 (</w:t>
    </w:r>
    <w:r w:rsidR="00947A85">
      <w:rPr>
        <w:lang w:val="en-US"/>
      </w:rPr>
      <w:t>ANM19/52</w:t>
    </w:r>
    <w:r>
      <w:rPr>
        <w:lang w:val="en-US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2F6CD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E7818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FF2865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6F6E6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FFFFFF80"/>
    <w:multiLevelType w:val="singleLevel"/>
    <w:tmpl w:val="605C45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38ECF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46AF3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B5DA0C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03A21C71"/>
    <w:multiLevelType w:val="hybridMultilevel"/>
    <w:tmpl w:val="9E4E8A16"/>
    <w:lvl w:ilvl="0" w:tplc="F404D25C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BC66F4"/>
    <w:multiLevelType w:val="hybridMultilevel"/>
    <w:tmpl w:val="D3D2B3C6"/>
    <w:lvl w:ilvl="0" w:tplc="1C7410BE">
      <w:start w:val="1"/>
      <w:numFmt w:val="bullet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19C37E91"/>
    <w:multiLevelType w:val="multilevel"/>
    <w:tmpl w:val="A06AAAE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B5B5C81"/>
    <w:multiLevelType w:val="hybridMultilevel"/>
    <w:tmpl w:val="085E719C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78BA4B1E"/>
    <w:multiLevelType w:val="multilevel"/>
    <w:tmpl w:val="834093B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23"/>
  </w:num>
  <w:num w:numId="4">
    <w:abstractNumId w:val="11"/>
    <w:lvlOverride w:ilvl="0">
      <w:startOverride w:val="1"/>
    </w:lvlOverride>
  </w:num>
  <w:num w:numId="5">
    <w:abstractNumId w:val="15"/>
  </w:num>
  <w:num w:numId="6">
    <w:abstractNumId w:val="19"/>
  </w:num>
  <w:num w:numId="7">
    <w:abstractNumId w:val="17"/>
  </w:num>
  <w:num w:numId="8">
    <w:abstractNumId w:val="22"/>
  </w:num>
  <w:num w:numId="9">
    <w:abstractNumId w:val="12"/>
  </w:num>
  <w:num w:numId="10">
    <w:abstractNumId w:val="18"/>
  </w:num>
  <w:num w:numId="11">
    <w:abstractNumId w:val="9"/>
  </w:num>
  <w:num w:numId="12">
    <w:abstractNumId w:val="4"/>
  </w:num>
  <w:num w:numId="13">
    <w:abstractNumId w:val="13"/>
  </w:num>
  <w:num w:numId="14">
    <w:abstractNumId w:val="21"/>
  </w:num>
  <w:num w:numId="15">
    <w:abstractNumId w:val="20"/>
  </w:num>
  <w:num w:numId="16">
    <w:abstractNumId w:val="16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406"/>
    <w:rsid w:val="00020070"/>
    <w:rsid w:val="0003143D"/>
    <w:rsid w:val="000420D8"/>
    <w:rsid w:val="0004410E"/>
    <w:rsid w:val="000448A8"/>
    <w:rsid w:val="00070873"/>
    <w:rsid w:val="000735B0"/>
    <w:rsid w:val="00077234"/>
    <w:rsid w:val="00087F9F"/>
    <w:rsid w:val="000A016B"/>
    <w:rsid w:val="000A691D"/>
    <w:rsid w:val="000C6A87"/>
    <w:rsid w:val="000D7400"/>
    <w:rsid w:val="00101457"/>
    <w:rsid w:val="0011366B"/>
    <w:rsid w:val="00134673"/>
    <w:rsid w:val="00137ABA"/>
    <w:rsid w:val="00156CEC"/>
    <w:rsid w:val="00184986"/>
    <w:rsid w:val="001948EF"/>
    <w:rsid w:val="00197406"/>
    <w:rsid w:val="001C2FB8"/>
    <w:rsid w:val="001D0BBB"/>
    <w:rsid w:val="001D3B7C"/>
    <w:rsid w:val="001D7306"/>
    <w:rsid w:val="001E4EFE"/>
    <w:rsid w:val="001E61BC"/>
    <w:rsid w:val="001E7399"/>
    <w:rsid w:val="001F045B"/>
    <w:rsid w:val="00207EE6"/>
    <w:rsid w:val="002646B0"/>
    <w:rsid w:val="002752C2"/>
    <w:rsid w:val="0027676C"/>
    <w:rsid w:val="002D39F8"/>
    <w:rsid w:val="002D4569"/>
    <w:rsid w:val="0032752D"/>
    <w:rsid w:val="00351DF6"/>
    <w:rsid w:val="00370225"/>
    <w:rsid w:val="00370529"/>
    <w:rsid w:val="00376825"/>
    <w:rsid w:val="00380262"/>
    <w:rsid w:val="0039581F"/>
    <w:rsid w:val="00395D68"/>
    <w:rsid w:val="003A4769"/>
    <w:rsid w:val="003A793B"/>
    <w:rsid w:val="003C25A1"/>
    <w:rsid w:val="003C44EB"/>
    <w:rsid w:val="003E2801"/>
    <w:rsid w:val="003E4EBD"/>
    <w:rsid w:val="003F23D2"/>
    <w:rsid w:val="003F60E6"/>
    <w:rsid w:val="00402FBD"/>
    <w:rsid w:val="00422D46"/>
    <w:rsid w:val="00422E65"/>
    <w:rsid w:val="00437340"/>
    <w:rsid w:val="0044047B"/>
    <w:rsid w:val="00446861"/>
    <w:rsid w:val="00460028"/>
    <w:rsid w:val="004668B4"/>
    <w:rsid w:val="00472854"/>
    <w:rsid w:val="004737EC"/>
    <w:rsid w:val="004852F8"/>
    <w:rsid w:val="00486BD1"/>
    <w:rsid w:val="004929F9"/>
    <w:rsid w:val="004946C1"/>
    <w:rsid w:val="004B3673"/>
    <w:rsid w:val="004B629C"/>
    <w:rsid w:val="004C2F5C"/>
    <w:rsid w:val="004F72F9"/>
    <w:rsid w:val="005038C0"/>
    <w:rsid w:val="005207B2"/>
    <w:rsid w:val="005301D7"/>
    <w:rsid w:val="00543D94"/>
    <w:rsid w:val="005519AB"/>
    <w:rsid w:val="00582569"/>
    <w:rsid w:val="0058337A"/>
    <w:rsid w:val="00585460"/>
    <w:rsid w:val="005A79A1"/>
    <w:rsid w:val="005C24F3"/>
    <w:rsid w:val="005C3FF4"/>
    <w:rsid w:val="005D7D5D"/>
    <w:rsid w:val="005F188D"/>
    <w:rsid w:val="006052C5"/>
    <w:rsid w:val="00615BDF"/>
    <w:rsid w:val="006279C1"/>
    <w:rsid w:val="00675FFD"/>
    <w:rsid w:val="00681BC4"/>
    <w:rsid w:val="00686A29"/>
    <w:rsid w:val="00691B22"/>
    <w:rsid w:val="006A2AB1"/>
    <w:rsid w:val="006B3013"/>
    <w:rsid w:val="006C1086"/>
    <w:rsid w:val="006D1C64"/>
    <w:rsid w:val="006F44DD"/>
    <w:rsid w:val="00714FB4"/>
    <w:rsid w:val="007157DA"/>
    <w:rsid w:val="00717544"/>
    <w:rsid w:val="0072093C"/>
    <w:rsid w:val="007211F8"/>
    <w:rsid w:val="00721DBE"/>
    <w:rsid w:val="007253E2"/>
    <w:rsid w:val="0074389E"/>
    <w:rsid w:val="00755EFC"/>
    <w:rsid w:val="007578C8"/>
    <w:rsid w:val="00767FC6"/>
    <w:rsid w:val="0078526C"/>
    <w:rsid w:val="00796BF5"/>
    <w:rsid w:val="007A25FA"/>
    <w:rsid w:val="007D251F"/>
    <w:rsid w:val="007E43BC"/>
    <w:rsid w:val="007F71BF"/>
    <w:rsid w:val="00800D78"/>
    <w:rsid w:val="008136BC"/>
    <w:rsid w:val="00820397"/>
    <w:rsid w:val="00821CE7"/>
    <w:rsid w:val="0082756A"/>
    <w:rsid w:val="00855820"/>
    <w:rsid w:val="00857962"/>
    <w:rsid w:val="00864D0A"/>
    <w:rsid w:val="008931CC"/>
    <w:rsid w:val="00896EE6"/>
    <w:rsid w:val="00897E16"/>
    <w:rsid w:val="008B37C1"/>
    <w:rsid w:val="008B3CBD"/>
    <w:rsid w:val="008F754E"/>
    <w:rsid w:val="009107A0"/>
    <w:rsid w:val="009174FF"/>
    <w:rsid w:val="00921872"/>
    <w:rsid w:val="009266D1"/>
    <w:rsid w:val="0093055B"/>
    <w:rsid w:val="00945D42"/>
    <w:rsid w:val="00947A85"/>
    <w:rsid w:val="009504E2"/>
    <w:rsid w:val="00956293"/>
    <w:rsid w:val="009653BC"/>
    <w:rsid w:val="00972166"/>
    <w:rsid w:val="009832CD"/>
    <w:rsid w:val="00985597"/>
    <w:rsid w:val="009928CF"/>
    <w:rsid w:val="00993B7D"/>
    <w:rsid w:val="009B30D7"/>
    <w:rsid w:val="009C15C8"/>
    <w:rsid w:val="009C22FA"/>
    <w:rsid w:val="009C3998"/>
    <w:rsid w:val="009D7A94"/>
    <w:rsid w:val="009E1230"/>
    <w:rsid w:val="009F55FD"/>
    <w:rsid w:val="00A075B1"/>
    <w:rsid w:val="00A13CBA"/>
    <w:rsid w:val="00A248D8"/>
    <w:rsid w:val="00A27A7A"/>
    <w:rsid w:val="00A3352D"/>
    <w:rsid w:val="00A44D0E"/>
    <w:rsid w:val="00A558C7"/>
    <w:rsid w:val="00A6234F"/>
    <w:rsid w:val="00A63292"/>
    <w:rsid w:val="00A720F8"/>
    <w:rsid w:val="00A750CA"/>
    <w:rsid w:val="00AA20D9"/>
    <w:rsid w:val="00AA2A80"/>
    <w:rsid w:val="00AB2FA0"/>
    <w:rsid w:val="00AB5265"/>
    <w:rsid w:val="00AB5CAB"/>
    <w:rsid w:val="00AC2C6D"/>
    <w:rsid w:val="00AC4EAC"/>
    <w:rsid w:val="00AE3102"/>
    <w:rsid w:val="00AE462D"/>
    <w:rsid w:val="00AE4F81"/>
    <w:rsid w:val="00AE5700"/>
    <w:rsid w:val="00AF615B"/>
    <w:rsid w:val="00B04E05"/>
    <w:rsid w:val="00B1058C"/>
    <w:rsid w:val="00B122F4"/>
    <w:rsid w:val="00B36C94"/>
    <w:rsid w:val="00B43C65"/>
    <w:rsid w:val="00B5774F"/>
    <w:rsid w:val="00B620A2"/>
    <w:rsid w:val="00B63B46"/>
    <w:rsid w:val="00B67FA6"/>
    <w:rsid w:val="00B70C4C"/>
    <w:rsid w:val="00B76755"/>
    <w:rsid w:val="00B81885"/>
    <w:rsid w:val="00B8537D"/>
    <w:rsid w:val="00B91264"/>
    <w:rsid w:val="00B967AA"/>
    <w:rsid w:val="00BD4FBB"/>
    <w:rsid w:val="00C104F1"/>
    <w:rsid w:val="00C23159"/>
    <w:rsid w:val="00C528B9"/>
    <w:rsid w:val="00C531DA"/>
    <w:rsid w:val="00C704F3"/>
    <w:rsid w:val="00C8750E"/>
    <w:rsid w:val="00C97FD2"/>
    <w:rsid w:val="00CA1F70"/>
    <w:rsid w:val="00CB4864"/>
    <w:rsid w:val="00CC4B2D"/>
    <w:rsid w:val="00CD7575"/>
    <w:rsid w:val="00D05833"/>
    <w:rsid w:val="00D128D4"/>
    <w:rsid w:val="00D135F8"/>
    <w:rsid w:val="00D207BA"/>
    <w:rsid w:val="00D22407"/>
    <w:rsid w:val="00D30727"/>
    <w:rsid w:val="00D34CC0"/>
    <w:rsid w:val="00D52150"/>
    <w:rsid w:val="00D75A15"/>
    <w:rsid w:val="00D75EF8"/>
    <w:rsid w:val="00D847AD"/>
    <w:rsid w:val="00DB2489"/>
    <w:rsid w:val="00DB585F"/>
    <w:rsid w:val="00DB6664"/>
    <w:rsid w:val="00DE0CF7"/>
    <w:rsid w:val="00DF19D5"/>
    <w:rsid w:val="00DF4C8C"/>
    <w:rsid w:val="00DF6EB4"/>
    <w:rsid w:val="00E0483F"/>
    <w:rsid w:val="00E1534B"/>
    <w:rsid w:val="00E16FB9"/>
    <w:rsid w:val="00E22226"/>
    <w:rsid w:val="00E428AC"/>
    <w:rsid w:val="00E43798"/>
    <w:rsid w:val="00E50B08"/>
    <w:rsid w:val="00E663AC"/>
    <w:rsid w:val="00E711D8"/>
    <w:rsid w:val="00E87747"/>
    <w:rsid w:val="00EA5A55"/>
    <w:rsid w:val="00EC597E"/>
    <w:rsid w:val="00EE340C"/>
    <w:rsid w:val="00EE394A"/>
    <w:rsid w:val="00EE3BAA"/>
    <w:rsid w:val="00F46430"/>
    <w:rsid w:val="00F50B1C"/>
    <w:rsid w:val="00F53DB6"/>
    <w:rsid w:val="00F700DA"/>
    <w:rsid w:val="00F9544D"/>
    <w:rsid w:val="00FC18AA"/>
    <w:rsid w:val="00FC3BBD"/>
    <w:rsid w:val="00FE4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</w:latentStyles>
  <w:style w:type="paragraph" w:default="1" w:styleId="Normal">
    <w:name w:val="Normal"/>
    <w:qFormat/>
    <w:rsid w:val="000A691D"/>
    <w:rPr>
      <w:rFonts w:ascii="Arial" w:eastAsia="Calibri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A691D"/>
    <w:pPr>
      <w:keepNext/>
      <w:numPr>
        <w:numId w:val="9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A691D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0A691D"/>
    <w:pPr>
      <w:keepNext/>
      <w:numPr>
        <w:ilvl w:val="2"/>
        <w:numId w:val="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0A691D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0A691D"/>
    <w:pPr>
      <w:numPr>
        <w:ilvl w:val="4"/>
        <w:numId w:val="9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0A691D"/>
    <w:pPr>
      <w:numPr>
        <w:ilvl w:val="5"/>
        <w:numId w:val="9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0A691D"/>
    <w:pPr>
      <w:numPr>
        <w:ilvl w:val="6"/>
        <w:numId w:val="9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0A691D"/>
    <w:pPr>
      <w:numPr>
        <w:ilvl w:val="7"/>
        <w:numId w:val="9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0A691D"/>
    <w:pPr>
      <w:numPr>
        <w:ilvl w:val="8"/>
        <w:numId w:val="9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0A691D"/>
    <w:pPr>
      <w:spacing w:after="120"/>
      <w:jc w:val="both"/>
    </w:pPr>
  </w:style>
  <w:style w:type="paragraph" w:styleId="FootnoteText">
    <w:name w:val="footnote text"/>
    <w:basedOn w:val="Normal"/>
    <w:link w:val="FootnoteTextChar"/>
    <w:rsid w:val="000A691D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0A691D"/>
    <w:rPr>
      <w:szCs w:val="22"/>
      <w:vertAlign w:val="superscript"/>
      <w:lang w:eastAsia="de-DE"/>
    </w:rPr>
  </w:style>
  <w:style w:type="paragraph" w:styleId="Header">
    <w:name w:val="header"/>
    <w:basedOn w:val="Normal"/>
    <w:link w:val="HeaderChar"/>
    <w:rsid w:val="000A691D"/>
    <w:pPr>
      <w:tabs>
        <w:tab w:val="center" w:pos="4820"/>
        <w:tab w:val="right" w:pos="9639"/>
      </w:tabs>
    </w:pPr>
  </w:style>
  <w:style w:type="paragraph" w:styleId="Quote">
    <w:name w:val="Quote"/>
    <w:basedOn w:val="Normal"/>
    <w:link w:val="QuoteChar"/>
    <w:rsid w:val="000A691D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0A691D"/>
    <w:pPr>
      <w:spacing w:before="60" w:after="80"/>
      <w:ind w:left="354"/>
    </w:pPr>
  </w:style>
  <w:style w:type="paragraph" w:styleId="Title">
    <w:name w:val="Title"/>
    <w:basedOn w:val="Normal"/>
    <w:link w:val="TitleChar"/>
    <w:qFormat/>
    <w:rsid w:val="000A691D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rsid w:val="000A691D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0A691D"/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2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link w:val="SubtitleChar"/>
    <w:qFormat/>
    <w:rsid w:val="000A691D"/>
    <w:pPr>
      <w:spacing w:after="60"/>
      <w:jc w:val="center"/>
      <w:outlineLvl w:val="1"/>
    </w:pPr>
    <w:rPr>
      <w:rFonts w:cs="Arial"/>
    </w:rPr>
  </w:style>
  <w:style w:type="paragraph" w:styleId="TOC1">
    <w:name w:val="toc 1"/>
    <w:basedOn w:val="Normal"/>
    <w:next w:val="Normal"/>
    <w:autoRedefine/>
    <w:uiPriority w:val="39"/>
    <w:rsid w:val="002D39F8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b/>
      <w:bCs/>
      <w:caps/>
      <w:szCs w:val="24"/>
      <w:lang w:eastAsia="en-US"/>
    </w:rPr>
  </w:style>
  <w:style w:type="paragraph" w:styleId="TOC2">
    <w:name w:val="toc 2"/>
    <w:basedOn w:val="Normal"/>
    <w:next w:val="Normal"/>
    <w:uiPriority w:val="39"/>
    <w:rsid w:val="002D39F8"/>
    <w:pPr>
      <w:tabs>
        <w:tab w:val="left" w:pos="851"/>
        <w:tab w:val="right" w:pos="9639"/>
      </w:tabs>
      <w:spacing w:before="120" w:after="120"/>
      <w:ind w:left="851" w:hanging="851"/>
    </w:pPr>
    <w:rPr>
      <w:rFonts w:eastAsia="Times New Roman" w:cs="Times New Roman"/>
      <w:bCs/>
      <w:noProof/>
      <w:szCs w:val="20"/>
      <w:lang w:eastAsia="en-US"/>
    </w:rPr>
  </w:style>
  <w:style w:type="paragraph" w:styleId="TOC3">
    <w:name w:val="toc 3"/>
    <w:basedOn w:val="Normal"/>
    <w:next w:val="Normal"/>
    <w:uiPriority w:val="39"/>
    <w:rsid w:val="002D39F8"/>
    <w:pPr>
      <w:tabs>
        <w:tab w:val="left" w:pos="1701"/>
        <w:tab w:val="right" w:pos="9639"/>
      </w:tabs>
      <w:ind w:left="851"/>
    </w:pPr>
    <w:rPr>
      <w:rFonts w:eastAsia="Times New Roman" w:cs="Times New Roman"/>
      <w:sz w:val="20"/>
      <w:szCs w:val="20"/>
      <w:lang w:eastAsia="en-US"/>
    </w:rPr>
  </w:style>
  <w:style w:type="paragraph" w:styleId="TOC4">
    <w:name w:val="toc 4"/>
    <w:basedOn w:val="Normal"/>
    <w:next w:val="Normal"/>
    <w:autoRedefine/>
    <w:uiPriority w:val="39"/>
    <w:rsid w:val="002D39F8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eastAsia="Times New Roman" w:hAnsi="Calibri" w:cs="Times New Roman"/>
      <w:b/>
      <w:noProof/>
    </w:rPr>
  </w:style>
  <w:style w:type="paragraph" w:styleId="TOC5">
    <w:name w:val="toc 5"/>
    <w:basedOn w:val="Normal"/>
    <w:next w:val="Normal"/>
    <w:autoRedefine/>
    <w:uiPriority w:val="39"/>
    <w:rsid w:val="002D39F8"/>
    <w:pPr>
      <w:tabs>
        <w:tab w:val="left" w:pos="1985"/>
        <w:tab w:val="right" w:pos="9639"/>
      </w:tabs>
      <w:spacing w:before="120" w:after="120"/>
      <w:ind w:left="1985" w:hanging="1985"/>
    </w:pPr>
    <w:rPr>
      <w:rFonts w:eastAsia="Times New Roman" w:cs="Times New Roman"/>
      <w:b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0A691D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0A691D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0A691D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0A691D"/>
    <w:pPr>
      <w:ind w:left="168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0A691D"/>
    <w:rPr>
      <w:dstrike w:val="0"/>
      <w:bdr w:val="none" w:sz="0" w:space="0" w:color="auto"/>
      <w:vertAlign w:val="baseline"/>
    </w:rPr>
  </w:style>
  <w:style w:type="paragraph" w:customStyle="1" w:styleId="THECOUNCIL">
    <w:name w:val="THE COUNCIL"/>
    <w:basedOn w:val="BodyText"/>
    <w:rsid w:val="000A691D"/>
    <w:rPr>
      <w:b/>
      <w:sz w:val="28"/>
    </w:rPr>
  </w:style>
  <w:style w:type="paragraph" w:customStyle="1" w:styleId="Recallings">
    <w:name w:val="Recallings"/>
    <w:basedOn w:val="BodyText"/>
    <w:rsid w:val="000A691D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0A691D"/>
    <w:pPr>
      <w:spacing w:after="120"/>
      <w:ind w:left="992" w:hanging="567"/>
      <w:jc w:val="both"/>
    </w:pPr>
  </w:style>
  <w:style w:type="paragraph" w:styleId="ListNumber">
    <w:name w:val="List Number"/>
    <w:basedOn w:val="Normal"/>
    <w:rsid w:val="000A691D"/>
    <w:pPr>
      <w:numPr>
        <w:numId w:val="11"/>
      </w:numPr>
    </w:pPr>
  </w:style>
  <w:style w:type="paragraph" w:styleId="ListNumber2">
    <w:name w:val="List Number 2"/>
    <w:basedOn w:val="Normal"/>
    <w:rsid w:val="000A691D"/>
    <w:pPr>
      <w:numPr>
        <w:numId w:val="12"/>
      </w:numPr>
    </w:pPr>
  </w:style>
  <w:style w:type="paragraph" w:styleId="BodyTextIndent">
    <w:name w:val="Body Text Indent"/>
    <w:basedOn w:val="Normal"/>
    <w:link w:val="BodyTextIndentChar"/>
    <w:rsid w:val="000A691D"/>
    <w:pPr>
      <w:spacing w:after="120"/>
      <w:ind w:left="567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0A691D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0A691D"/>
    <w:pPr>
      <w:numPr>
        <w:numId w:val="6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0A691D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0A691D"/>
    <w:pPr>
      <w:numPr>
        <w:ilvl w:val="1"/>
        <w:numId w:val="6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0A691D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0A691D"/>
    <w:pPr>
      <w:numPr>
        <w:ilvl w:val="2"/>
        <w:numId w:val="6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0A691D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0A691D"/>
    <w:pPr>
      <w:numPr>
        <w:numId w:val="8"/>
      </w:numPr>
      <w:spacing w:before="120" w:after="120"/>
      <w:jc w:val="center"/>
    </w:pPr>
    <w:rPr>
      <w:i/>
      <w:szCs w:val="20"/>
    </w:rPr>
  </w:style>
  <w:style w:type="paragraph" w:customStyle="1" w:styleId="List1">
    <w:name w:val="List 1"/>
    <w:basedOn w:val="Normal"/>
    <w:qFormat/>
    <w:rsid w:val="000A691D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">
    <w:name w:val="List 1 indent"/>
    <w:basedOn w:val="Normal"/>
    <w:rsid w:val="00DF6EB4"/>
    <w:pPr>
      <w:numPr>
        <w:ilvl w:val="1"/>
        <w:numId w:val="3"/>
      </w:numPr>
      <w:spacing w:after="120"/>
      <w:jc w:val="both"/>
    </w:pPr>
    <w:rPr>
      <w:szCs w:val="20"/>
    </w:rPr>
  </w:style>
  <w:style w:type="paragraph" w:customStyle="1" w:styleId="List1indent2">
    <w:name w:val="List 1 indent 2"/>
    <w:basedOn w:val="Normal"/>
    <w:rsid w:val="000A691D"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0A691D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0A691D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0A691D"/>
    <w:pPr>
      <w:spacing w:after="120"/>
      <w:ind w:left="567"/>
      <w:jc w:val="both"/>
    </w:pPr>
    <w:rPr>
      <w:rFonts w:cs="Arial"/>
    </w:rPr>
  </w:style>
  <w:style w:type="character" w:customStyle="1" w:styleId="StyleFootnoteReference115ptBlack">
    <w:name w:val="Style Footnote Reference + 11.5 pt Black"/>
    <w:basedOn w:val="FootnoteReference"/>
    <w:rsid w:val="000A691D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customStyle="1" w:styleId="Table">
    <w:name w:val="Table_#"/>
    <w:basedOn w:val="Normal"/>
    <w:next w:val="Normal"/>
    <w:qFormat/>
    <w:rsid w:val="000A691D"/>
    <w:pPr>
      <w:numPr>
        <w:numId w:val="15"/>
      </w:numPr>
      <w:spacing w:before="120" w:after="120"/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basedOn w:val="DefaultParagraphFont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basedOn w:val="DefaultParagraphFont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basedOn w:val="DefaultParagraphFont"/>
    <w:rsid w:val="00DF6EB4"/>
    <w:rPr>
      <w:i/>
      <w:iCs/>
    </w:rPr>
  </w:style>
  <w:style w:type="character" w:styleId="HTMLCite">
    <w:name w:val="HTML Cite"/>
    <w:basedOn w:val="DefaultParagraphFont"/>
    <w:rsid w:val="00DF6EB4"/>
    <w:rPr>
      <w:i/>
      <w:iCs/>
    </w:rPr>
  </w:style>
  <w:style w:type="paragraph" w:customStyle="1" w:styleId="References">
    <w:name w:val="References"/>
    <w:basedOn w:val="Normal"/>
    <w:qFormat/>
    <w:rsid w:val="000A691D"/>
    <w:pPr>
      <w:numPr>
        <w:numId w:val="13"/>
      </w:numPr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rsid w:val="000A691D"/>
    <w:pPr>
      <w:numPr>
        <w:numId w:val="1"/>
      </w:numPr>
      <w:tabs>
        <w:tab w:val="left" w:pos="2268"/>
      </w:tabs>
      <w:spacing w:before="120" w:after="240"/>
      <w:ind w:left="2268" w:hanging="2268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autoRedefine/>
    <w:uiPriority w:val="99"/>
    <w:rsid w:val="000A691D"/>
    <w:pPr>
      <w:numPr>
        <w:numId w:val="14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qFormat/>
    <w:rsid w:val="000A691D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A691D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rsid w:val="000A691D"/>
    <w:rPr>
      <w:rFonts w:ascii="Arial" w:eastAsia="Calibri" w:hAnsi="Arial" w:cs="Calibri"/>
      <w:sz w:val="22"/>
      <w:szCs w:val="22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DB666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5"/>
      </w:numPr>
      <w:spacing w:before="120" w:after="120"/>
    </w:pPr>
    <w:rPr>
      <w:rFonts w:cs="Arial"/>
    </w:rPr>
  </w:style>
  <w:style w:type="paragraph" w:styleId="TOCHeading">
    <w:name w:val="TOC Heading"/>
    <w:basedOn w:val="Heading1"/>
    <w:next w:val="Normal"/>
    <w:uiPriority w:val="39"/>
    <w:unhideWhenUsed/>
    <w:rsid w:val="00993B7D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pt-PT" w:eastAsia="en-US"/>
    </w:rPr>
  </w:style>
  <w:style w:type="character" w:customStyle="1" w:styleId="BodyTextIndentChar">
    <w:name w:val="Body Text Indent Char"/>
    <w:basedOn w:val="DefaultParagraphFont"/>
    <w:link w:val="BodyTextIndent"/>
    <w:rsid w:val="000A691D"/>
    <w:rPr>
      <w:rFonts w:ascii="Arial" w:eastAsia="Calibri" w:hAnsi="Arial" w:cs="Calibr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0A691D"/>
    <w:rPr>
      <w:rFonts w:ascii="Arial" w:eastAsia="Calibri" w:hAnsi="Arial" w:cs="Calibri"/>
      <w:sz w:val="22"/>
      <w:szCs w:val="22"/>
    </w:rPr>
  </w:style>
  <w:style w:type="character" w:customStyle="1" w:styleId="FootnoteTextChar">
    <w:name w:val="Footnote Text Char"/>
    <w:link w:val="FootnoteText"/>
    <w:rsid w:val="000A691D"/>
    <w:rPr>
      <w:rFonts w:ascii="Arial" w:hAnsi="Arial"/>
      <w:lang w:eastAsia="en-US"/>
    </w:rPr>
  </w:style>
  <w:style w:type="character" w:customStyle="1" w:styleId="HeaderChar">
    <w:name w:val="Header Char"/>
    <w:basedOn w:val="DefaultParagraphFont"/>
    <w:link w:val="Header"/>
    <w:rsid w:val="000A691D"/>
    <w:rPr>
      <w:rFonts w:ascii="Arial" w:eastAsia="Calibri" w:hAnsi="Arial" w:cs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0A691D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basedOn w:val="DefaultParagraphFont"/>
    <w:link w:val="Heading2"/>
    <w:rsid w:val="000A691D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basedOn w:val="DefaultParagraphFont"/>
    <w:link w:val="Heading3"/>
    <w:rsid w:val="000A691D"/>
    <w:rPr>
      <w:rFonts w:ascii="Arial" w:eastAsia="Calibri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A691D"/>
    <w:rPr>
      <w:rFonts w:ascii="Arial" w:eastAsia="Calibri" w:hAnsi="Arial" w:cs="Calibri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0A691D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0A691D"/>
    <w:rPr>
      <w:rFonts w:ascii="Arial" w:eastAsia="Calibri" w:hAnsi="Arial" w:cs="Calibri"/>
      <w:sz w:val="22"/>
      <w:lang w:val="de-DE" w:eastAsia="de-DE"/>
    </w:rPr>
  </w:style>
  <w:style w:type="paragraph" w:customStyle="1" w:styleId="List1indent1">
    <w:name w:val="List 1 indent 1"/>
    <w:basedOn w:val="Normal"/>
    <w:qFormat/>
    <w:rsid w:val="000A691D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0A691D"/>
    <w:pPr>
      <w:spacing w:after="120"/>
      <w:ind w:left="1134"/>
      <w:jc w:val="both"/>
    </w:pPr>
    <w:rPr>
      <w:rFonts w:cs="Arial"/>
      <w:lang w:eastAsia="fr-FR"/>
    </w:rPr>
  </w:style>
  <w:style w:type="character" w:customStyle="1" w:styleId="QuoteChar">
    <w:name w:val="Quote Char"/>
    <w:basedOn w:val="DefaultParagraphFont"/>
    <w:link w:val="Quote"/>
    <w:rsid w:val="000A691D"/>
    <w:rPr>
      <w:rFonts w:ascii="Arial" w:eastAsia="Calibri" w:hAnsi="Arial" w:cs="Calibri"/>
      <w:i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0A691D"/>
    <w:rPr>
      <w:rFonts w:ascii="Arial" w:eastAsia="Calibri" w:hAnsi="Arial" w:cs="Arial"/>
      <w:sz w:val="22"/>
      <w:szCs w:val="22"/>
    </w:rPr>
  </w:style>
  <w:style w:type="character" w:customStyle="1" w:styleId="TitleChar">
    <w:name w:val="Title Char"/>
    <w:basedOn w:val="DefaultParagraphFont"/>
    <w:link w:val="Title"/>
    <w:rsid w:val="000A691D"/>
    <w:rPr>
      <w:rFonts w:ascii="Arial" w:eastAsia="Calibri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goSeco"/>
    <w:pPr>
      <w:numPr>
        <w:numId w:val="2"/>
      </w:numPr>
    </w:pPr>
  </w:style>
  <w:style w:type="numbering" w:customStyle="1" w:styleId="FootnoteText">
    <w:name w:val="ArticleSecti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ontact@iala-aism.org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USA%20RODRIGUES\Documents\anm%2016\Recommendation%20Template_Mar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2605D-C060-4A75-AA0B-3531D83EA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Template_Mar11.dotx</Template>
  <TotalTime>1</TotalTime>
  <Pages>5</Pages>
  <Words>549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/>
  <LinksUpToDate>false</LinksUpToDate>
  <CharactersWithSpaces>3563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SOUSA RODRIGUES</dc:creator>
  <cp:lastModifiedBy>Wim</cp:lastModifiedBy>
  <cp:revision>3</cp:revision>
  <cp:lastPrinted>2008-12-16T06:04:00Z</cp:lastPrinted>
  <dcterms:created xsi:type="dcterms:W3CDTF">2015-05-26T11:00:00Z</dcterms:created>
  <dcterms:modified xsi:type="dcterms:W3CDTF">2015-05-28T19:47:00Z</dcterms:modified>
</cp:coreProperties>
</file>